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9019496" w:displacedByCustomXml="next"/>
    <w:bookmarkEnd w:id="0" w:displacedByCustomXml="next"/>
    <w:sdt>
      <w:sdtPr>
        <w:rPr>
          <w:rFonts w:ascii="Arial" w:hAnsi="Arial" w:cs="Arial"/>
        </w:rPr>
        <w:id w:val="411521118"/>
        <w:docPartObj>
          <w:docPartGallery w:val="Cover Pages"/>
          <w:docPartUnique/>
        </w:docPartObj>
      </w:sdtPr>
      <w:sdtEndPr>
        <w:rPr>
          <w:lang w:eastAsia="ja-JP"/>
        </w:rPr>
      </w:sdtEndPr>
      <w:sdtContent>
        <w:p w14:paraId="6E3A5A7E" w14:textId="1B968EA5" w:rsidR="00CE3BE0" w:rsidRPr="00851E9E" w:rsidRDefault="00591938" w:rsidP="006C6098">
          <w:pPr>
            <w:rPr>
              <w:rFonts w:ascii="Arial" w:hAnsi="Arial" w:cs="Arial"/>
            </w:rPr>
            <w:sectPr w:rsidR="00CE3BE0" w:rsidRPr="00851E9E" w:rsidSect="00830291">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0"/>
              <w:cols w:space="720" w:equalWidth="0">
                <w:col w:w="9360"/>
              </w:cols>
              <w:titlePg/>
              <w:docGrid w:linePitch="360"/>
            </w:sectPr>
          </w:pPr>
          <w:r w:rsidRPr="00851E9E">
            <w:rPr>
              <w:rFonts w:ascii="Arial" w:hAnsi="Arial" w:cs="Arial"/>
              <w:noProof/>
              <w:lang w:val="en-AU" w:eastAsia="en-AU"/>
            </w:rPr>
            <mc:AlternateContent>
              <mc:Choice Requires="wps">
                <w:drawing>
                  <wp:anchor distT="0" distB="0" distL="114300" distR="114300" simplePos="0" relativeHeight="251654145" behindDoc="0" locked="0" layoutInCell="1" allowOverlap="1" wp14:anchorId="145B9F1E" wp14:editId="2BAC0C0D">
                    <wp:simplePos x="0" y="0"/>
                    <wp:positionH relativeFrom="margin">
                      <wp:posOffset>659027</wp:posOffset>
                    </wp:positionH>
                    <wp:positionV relativeFrom="paragraph">
                      <wp:posOffset>2718469</wp:posOffset>
                    </wp:positionV>
                    <wp:extent cx="5099222" cy="1403985"/>
                    <wp:effectExtent l="0" t="0" r="0" b="63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222" cy="1403985"/>
                            </a:xfrm>
                            <a:prstGeom prst="rect">
                              <a:avLst/>
                            </a:prstGeom>
                            <a:noFill/>
                            <a:ln w="9525">
                              <a:noFill/>
                              <a:miter lim="800000"/>
                              <a:headEnd/>
                              <a:tailEnd/>
                            </a:ln>
                          </wps:spPr>
                          <wps:txbx>
                            <w:txbxContent>
                              <w:p w14:paraId="0F2CFA67" w14:textId="5944DA97" w:rsidR="003652C9" w:rsidRPr="00F74C7A" w:rsidRDefault="003652C9" w:rsidP="00093774">
                                <w:pPr>
                                  <w:pStyle w:val="Body-Black"/>
                                  <w:spacing w:line="240" w:lineRule="auto"/>
                                  <w:jc w:val="left"/>
                                  <w:rPr>
                                    <w:b/>
                                    <w:sz w:val="36"/>
                                    <w:szCs w:val="32"/>
                                    <w:lang w:val="en-US"/>
                                  </w:rPr>
                                </w:pPr>
                                <w:r w:rsidRPr="00F74C7A">
                                  <w:rPr>
                                    <w:b/>
                                    <w:sz w:val="36"/>
                                    <w:szCs w:val="32"/>
                                    <w:lang w:val="en-US"/>
                                  </w:rPr>
                                  <w:t xml:space="preserve">3,5,6,8 &amp; 11 Bridges Road and 361 Newbridge Road (Lot 200, DP 1009044; Lot 100, DP 775780; Lot 201, DP 1009044; Lot 111, DP 1133744; Lot 10, DP 875626; Lot 101, DP 827141), </w:t>
                                </w:r>
                                <w:r>
                                  <w:rPr>
                                    <w:b/>
                                    <w:sz w:val="36"/>
                                    <w:szCs w:val="32"/>
                                    <w:lang w:val="en-US"/>
                                  </w:rPr>
                                  <w:t>Moorebank</w:t>
                                </w:r>
                              </w:p>
                              <w:p w14:paraId="5309D94C" w14:textId="4CA11FD0" w:rsidR="003652C9" w:rsidRPr="0033070E" w:rsidRDefault="003652C9" w:rsidP="00093774">
                                <w:pPr>
                                  <w:pStyle w:val="Body-Black"/>
                                  <w:spacing w:line="240" w:lineRule="auto"/>
                                  <w:jc w:val="left"/>
                                  <w:rPr>
                                    <w:i/>
                                    <w:sz w:val="28"/>
                                    <w:szCs w:val="28"/>
                                    <w:lang w:val="en-US"/>
                                  </w:rPr>
                                </w:pPr>
                                <w:r w:rsidRPr="0033070E">
                                  <w:rPr>
                                    <w:i/>
                                    <w:sz w:val="28"/>
                                    <w:szCs w:val="28"/>
                                    <w:lang w:val="en-US"/>
                                  </w:rPr>
                                  <w:t xml:space="preserve">Amendment </w:t>
                                </w:r>
                                <w:r>
                                  <w:rPr>
                                    <w:i/>
                                    <w:sz w:val="28"/>
                                    <w:szCs w:val="28"/>
                                    <w:lang w:val="en-US"/>
                                  </w:rPr>
                                  <w:t xml:space="preserve">90 to </w:t>
                                </w:r>
                                <w:r w:rsidRPr="0033070E">
                                  <w:rPr>
                                    <w:i/>
                                    <w:sz w:val="28"/>
                                    <w:szCs w:val="28"/>
                                    <w:lang w:val="en-US"/>
                                  </w:rPr>
                                  <w:t>Liverpool Local Environmental Plan 2008:</w:t>
                                </w:r>
                              </w:p>
                              <w:p w14:paraId="1667F4ED" w14:textId="15485E5F" w:rsidR="003652C9" w:rsidRPr="00D20A06" w:rsidRDefault="003652C9" w:rsidP="00037AA1">
                                <w:pPr>
                                  <w:pStyle w:val="Body-Black"/>
                                  <w:numPr>
                                    <w:ilvl w:val="0"/>
                                    <w:numId w:val="6"/>
                                  </w:numPr>
                                  <w:spacing w:line="240" w:lineRule="auto"/>
                                  <w:jc w:val="left"/>
                                  <w:rPr>
                                    <w:i/>
                                    <w:sz w:val="24"/>
                                    <w:szCs w:val="24"/>
                                    <w:lang w:val="en-US"/>
                                  </w:rPr>
                                </w:pPr>
                                <w:r>
                                  <w:rPr>
                                    <w:i/>
                                    <w:sz w:val="24"/>
                                    <w:szCs w:val="24"/>
                                    <w:lang w:val="en-US"/>
                                  </w:rPr>
                                  <w:t>Rezone the site from IN2</w:t>
                                </w:r>
                                <w:r w:rsidRPr="0033070E">
                                  <w:rPr>
                                    <w:i/>
                                    <w:sz w:val="24"/>
                                    <w:szCs w:val="24"/>
                                    <w:lang w:val="en-US"/>
                                  </w:rPr>
                                  <w:t xml:space="preserve"> </w:t>
                                </w:r>
                                <w:r>
                                  <w:rPr>
                                    <w:i/>
                                    <w:sz w:val="24"/>
                                    <w:szCs w:val="24"/>
                                    <w:lang w:val="en-US"/>
                                  </w:rPr>
                                  <w:t xml:space="preserve">Light Industrial </w:t>
                                </w:r>
                                <w:r w:rsidRPr="0033070E">
                                  <w:rPr>
                                    <w:i/>
                                    <w:sz w:val="24"/>
                                    <w:szCs w:val="24"/>
                                    <w:lang w:val="en-US"/>
                                  </w:rPr>
                                  <w:t>to B4 Mixed Use</w:t>
                                </w:r>
                                <w:r>
                                  <w:rPr>
                                    <w:i/>
                                    <w:sz w:val="24"/>
                                    <w:szCs w:val="24"/>
                                    <w:lang w:val="en-US"/>
                                  </w:rPr>
                                  <w:t>, B6 Enterprise Corridor and RE1 Public Recreation</w:t>
                                </w:r>
                                <w:r w:rsidRPr="0033070E">
                                  <w:rPr>
                                    <w:i/>
                                    <w:sz w:val="24"/>
                                    <w:szCs w:val="24"/>
                                    <w:lang w:val="en-US"/>
                                  </w:rPr>
                                  <w:t>;</w:t>
                                </w:r>
                              </w:p>
                              <w:p w14:paraId="2D2BD462" w14:textId="314EDA77" w:rsidR="003652C9" w:rsidRPr="0033070E" w:rsidRDefault="003652C9" w:rsidP="00037AA1">
                                <w:pPr>
                                  <w:pStyle w:val="Body-Black"/>
                                  <w:numPr>
                                    <w:ilvl w:val="0"/>
                                    <w:numId w:val="6"/>
                                  </w:numPr>
                                  <w:spacing w:line="240" w:lineRule="auto"/>
                                  <w:rPr>
                                    <w:i/>
                                    <w:sz w:val="24"/>
                                    <w:szCs w:val="24"/>
                                    <w:lang w:val="en-US"/>
                                  </w:rPr>
                                </w:pPr>
                                <w:r w:rsidRPr="0033070E">
                                  <w:rPr>
                                    <w:i/>
                                    <w:sz w:val="24"/>
                                    <w:szCs w:val="24"/>
                                    <w:lang w:val="en-US"/>
                                  </w:rPr>
                                  <w:t>Increase the maximum height of building</w:t>
                                </w:r>
                                <w:r>
                                  <w:rPr>
                                    <w:i/>
                                    <w:sz w:val="24"/>
                                    <w:szCs w:val="24"/>
                                    <w:lang w:val="en-US"/>
                                  </w:rPr>
                                  <w:t>s development standard applying to the site from 15m and 18m</w:t>
                                </w:r>
                                <w:r w:rsidRPr="0033070E">
                                  <w:rPr>
                                    <w:i/>
                                    <w:sz w:val="24"/>
                                    <w:szCs w:val="24"/>
                                    <w:lang w:val="en-US"/>
                                  </w:rPr>
                                  <w:t xml:space="preserve"> to </w:t>
                                </w:r>
                                <w:r>
                                  <w:rPr>
                                    <w:i/>
                                    <w:sz w:val="24"/>
                                    <w:szCs w:val="24"/>
                                    <w:lang w:val="en-US"/>
                                  </w:rPr>
                                  <w:t>RL136m and RL108m, and amend height of building map;</w:t>
                                </w:r>
                              </w:p>
                              <w:p w14:paraId="0D54723D" w14:textId="583C5A28" w:rsidR="003652C9" w:rsidRDefault="003652C9" w:rsidP="00037AA1">
                                <w:pPr>
                                  <w:pStyle w:val="Body-Black"/>
                                  <w:numPr>
                                    <w:ilvl w:val="0"/>
                                    <w:numId w:val="6"/>
                                  </w:numPr>
                                  <w:spacing w:line="240" w:lineRule="auto"/>
                                  <w:rPr>
                                    <w:i/>
                                    <w:sz w:val="24"/>
                                    <w:szCs w:val="24"/>
                                    <w:lang w:val="en-US"/>
                                  </w:rPr>
                                </w:pPr>
                                <w:r>
                                  <w:rPr>
                                    <w:i/>
                                    <w:sz w:val="24"/>
                                    <w:szCs w:val="24"/>
                                    <w:lang w:val="en-US"/>
                                  </w:rPr>
                                  <w:t>Increase the maximum floor space ratio development standard from 0.75:1 to part 4.2:1 and part 3.5:1, and amend the Floor Space Ratio map; and</w:t>
                                </w:r>
                              </w:p>
                              <w:p w14:paraId="125D674B" w14:textId="3C61F6DD" w:rsidR="003652C9" w:rsidRPr="00591938" w:rsidRDefault="003652C9" w:rsidP="00037AA1">
                                <w:pPr>
                                  <w:pStyle w:val="Body-Black"/>
                                  <w:numPr>
                                    <w:ilvl w:val="0"/>
                                    <w:numId w:val="6"/>
                                  </w:numPr>
                                  <w:spacing w:line="240" w:lineRule="auto"/>
                                  <w:rPr>
                                    <w:i/>
                                    <w:sz w:val="24"/>
                                    <w:szCs w:val="24"/>
                                    <w:lang w:val="en-US"/>
                                  </w:rPr>
                                </w:pPr>
                                <w:r>
                                  <w:rPr>
                                    <w:i/>
                                    <w:sz w:val="24"/>
                                    <w:szCs w:val="24"/>
                                    <w:lang w:val="en-US"/>
                                  </w:rPr>
                                  <w:t>I</w:t>
                                </w:r>
                                <w:r w:rsidRPr="00F74C7A">
                                  <w:rPr>
                                    <w:i/>
                                    <w:sz w:val="24"/>
                                    <w:szCs w:val="24"/>
                                    <w:lang w:val="en-US"/>
                                  </w:rPr>
                                  <w:t>ntroduce site-specific controls relating to sun access, design excellence and the preparation of a development control plan</w:t>
                                </w:r>
                                <w:r>
                                  <w:rPr>
                                    <w:i/>
                                    <w:sz w:val="24"/>
                                    <w:szCs w:val="24"/>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B9F1E" id="_x0000_t202" coordsize="21600,21600" o:spt="202" path="m,l,21600r21600,l21600,xe">
                    <v:stroke joinstyle="miter"/>
                    <v:path gradientshapeok="t" o:connecttype="rect"/>
                  </v:shapetype>
                  <v:shape id="Text Box 2" o:spid="_x0000_s1026" type="#_x0000_t202" style="position:absolute;margin-left:51.9pt;margin-top:214.05pt;width:401.5pt;height:110.55pt;z-index:251654145;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" filled="f" stroked="f">
                    <v:textbox style="mso-fit-shape-to-text:t">
                      <w:txbxContent>
                        <w:p w14:paraId="0F2CFA67" w14:textId="5944DA97" w:rsidR="003652C9" w:rsidRPr="00F74C7A" w:rsidRDefault="003652C9" w:rsidP="00093774">
                          <w:pPr>
                            <w:pStyle w:val="Body-Black"/>
                            <w:spacing w:line="240" w:lineRule="auto"/>
                            <w:jc w:val="left"/>
                            <w:rPr>
                              <w:b/>
                              <w:sz w:val="36"/>
                              <w:szCs w:val="32"/>
                              <w:lang w:val="en-US"/>
                            </w:rPr>
                          </w:pPr>
                          <w:r w:rsidRPr="00F74C7A">
                            <w:rPr>
                              <w:b/>
                              <w:sz w:val="36"/>
                              <w:szCs w:val="32"/>
                              <w:lang w:val="en-US"/>
                            </w:rPr>
                            <w:t xml:space="preserve">3,5,6,8 &amp; 11 Bridges Road and 361 Newbridge Road (Lot 200, DP 1009044; Lot 100, DP 775780; Lot 201, DP 1009044; Lot 111, DP 1133744; Lot 10, DP 875626; Lot 101, DP 827141), </w:t>
                          </w:r>
                          <w:r>
                            <w:rPr>
                              <w:b/>
                              <w:sz w:val="36"/>
                              <w:szCs w:val="32"/>
                              <w:lang w:val="en-US"/>
                            </w:rPr>
                            <w:t>Moorebank</w:t>
                          </w:r>
                        </w:p>
                        <w:p w14:paraId="5309D94C" w14:textId="4CA11FD0" w:rsidR="003652C9" w:rsidRPr="0033070E" w:rsidRDefault="003652C9" w:rsidP="00093774">
                          <w:pPr>
                            <w:pStyle w:val="Body-Black"/>
                            <w:spacing w:line="240" w:lineRule="auto"/>
                            <w:jc w:val="left"/>
                            <w:rPr>
                              <w:i/>
                              <w:sz w:val="28"/>
                              <w:szCs w:val="28"/>
                              <w:lang w:val="en-US"/>
                            </w:rPr>
                          </w:pPr>
                          <w:r w:rsidRPr="0033070E">
                            <w:rPr>
                              <w:i/>
                              <w:sz w:val="28"/>
                              <w:szCs w:val="28"/>
                              <w:lang w:val="en-US"/>
                            </w:rPr>
                            <w:t xml:space="preserve">Amendment </w:t>
                          </w:r>
                          <w:r>
                            <w:rPr>
                              <w:i/>
                              <w:sz w:val="28"/>
                              <w:szCs w:val="28"/>
                              <w:lang w:val="en-US"/>
                            </w:rPr>
                            <w:t xml:space="preserve">90 to </w:t>
                          </w:r>
                          <w:r w:rsidRPr="0033070E">
                            <w:rPr>
                              <w:i/>
                              <w:sz w:val="28"/>
                              <w:szCs w:val="28"/>
                              <w:lang w:val="en-US"/>
                            </w:rPr>
                            <w:t>Liverpool Local Environmental Plan 2008:</w:t>
                          </w:r>
                        </w:p>
                        <w:p w14:paraId="1667F4ED" w14:textId="15485E5F" w:rsidR="003652C9" w:rsidRPr="00D20A06" w:rsidRDefault="003652C9" w:rsidP="00037AA1">
                          <w:pPr>
                            <w:pStyle w:val="Body-Black"/>
                            <w:numPr>
                              <w:ilvl w:val="0"/>
                              <w:numId w:val="6"/>
                            </w:numPr>
                            <w:spacing w:line="240" w:lineRule="auto"/>
                            <w:jc w:val="left"/>
                            <w:rPr>
                              <w:i/>
                              <w:sz w:val="24"/>
                              <w:szCs w:val="24"/>
                              <w:lang w:val="en-US"/>
                            </w:rPr>
                          </w:pPr>
                          <w:r>
                            <w:rPr>
                              <w:i/>
                              <w:sz w:val="24"/>
                              <w:szCs w:val="24"/>
                              <w:lang w:val="en-US"/>
                            </w:rPr>
                            <w:t>Rezone the site from IN2</w:t>
                          </w:r>
                          <w:r w:rsidRPr="0033070E">
                            <w:rPr>
                              <w:i/>
                              <w:sz w:val="24"/>
                              <w:szCs w:val="24"/>
                              <w:lang w:val="en-US"/>
                            </w:rPr>
                            <w:t xml:space="preserve"> </w:t>
                          </w:r>
                          <w:r>
                            <w:rPr>
                              <w:i/>
                              <w:sz w:val="24"/>
                              <w:szCs w:val="24"/>
                              <w:lang w:val="en-US"/>
                            </w:rPr>
                            <w:t xml:space="preserve">Light Industrial </w:t>
                          </w:r>
                          <w:r w:rsidRPr="0033070E">
                            <w:rPr>
                              <w:i/>
                              <w:sz w:val="24"/>
                              <w:szCs w:val="24"/>
                              <w:lang w:val="en-US"/>
                            </w:rPr>
                            <w:t>to B4 Mixed Use</w:t>
                          </w:r>
                          <w:r>
                            <w:rPr>
                              <w:i/>
                              <w:sz w:val="24"/>
                              <w:szCs w:val="24"/>
                              <w:lang w:val="en-US"/>
                            </w:rPr>
                            <w:t>, B6 Enterprise Corridor and RE1 Public Recreation</w:t>
                          </w:r>
                          <w:r w:rsidRPr="0033070E">
                            <w:rPr>
                              <w:i/>
                              <w:sz w:val="24"/>
                              <w:szCs w:val="24"/>
                              <w:lang w:val="en-US"/>
                            </w:rPr>
                            <w:t>;</w:t>
                          </w:r>
                        </w:p>
                        <w:p w14:paraId="2D2BD462" w14:textId="314EDA77" w:rsidR="003652C9" w:rsidRPr="0033070E" w:rsidRDefault="003652C9" w:rsidP="00037AA1">
                          <w:pPr>
                            <w:pStyle w:val="Body-Black"/>
                            <w:numPr>
                              <w:ilvl w:val="0"/>
                              <w:numId w:val="6"/>
                            </w:numPr>
                            <w:spacing w:line="240" w:lineRule="auto"/>
                            <w:rPr>
                              <w:i/>
                              <w:sz w:val="24"/>
                              <w:szCs w:val="24"/>
                              <w:lang w:val="en-US"/>
                            </w:rPr>
                          </w:pPr>
                          <w:r w:rsidRPr="0033070E">
                            <w:rPr>
                              <w:i/>
                              <w:sz w:val="24"/>
                              <w:szCs w:val="24"/>
                              <w:lang w:val="en-US"/>
                            </w:rPr>
                            <w:t>Increase the maximum height of building</w:t>
                          </w:r>
                          <w:r>
                            <w:rPr>
                              <w:i/>
                              <w:sz w:val="24"/>
                              <w:szCs w:val="24"/>
                              <w:lang w:val="en-US"/>
                            </w:rPr>
                            <w:t>s development standard applying to the site from 15m and 18m</w:t>
                          </w:r>
                          <w:r w:rsidRPr="0033070E">
                            <w:rPr>
                              <w:i/>
                              <w:sz w:val="24"/>
                              <w:szCs w:val="24"/>
                              <w:lang w:val="en-US"/>
                            </w:rPr>
                            <w:t xml:space="preserve"> to </w:t>
                          </w:r>
                          <w:r>
                            <w:rPr>
                              <w:i/>
                              <w:sz w:val="24"/>
                              <w:szCs w:val="24"/>
                              <w:lang w:val="en-US"/>
                            </w:rPr>
                            <w:t>RL136m and RL108m, and amend height of building map;</w:t>
                          </w:r>
                        </w:p>
                        <w:p w14:paraId="0D54723D" w14:textId="583C5A28" w:rsidR="003652C9" w:rsidRDefault="003652C9" w:rsidP="00037AA1">
                          <w:pPr>
                            <w:pStyle w:val="Body-Black"/>
                            <w:numPr>
                              <w:ilvl w:val="0"/>
                              <w:numId w:val="6"/>
                            </w:numPr>
                            <w:spacing w:line="240" w:lineRule="auto"/>
                            <w:rPr>
                              <w:i/>
                              <w:sz w:val="24"/>
                              <w:szCs w:val="24"/>
                              <w:lang w:val="en-US"/>
                            </w:rPr>
                          </w:pPr>
                          <w:r>
                            <w:rPr>
                              <w:i/>
                              <w:sz w:val="24"/>
                              <w:szCs w:val="24"/>
                              <w:lang w:val="en-US"/>
                            </w:rPr>
                            <w:t>Increase the maximum floor space ratio development standard from 0.75:1 to part 4.2:1 and part 3.5:1, and amend the Floor Space Ratio map; and</w:t>
                          </w:r>
                        </w:p>
                        <w:p w14:paraId="125D674B" w14:textId="3C61F6DD" w:rsidR="003652C9" w:rsidRPr="00591938" w:rsidRDefault="003652C9" w:rsidP="00037AA1">
                          <w:pPr>
                            <w:pStyle w:val="Body-Black"/>
                            <w:numPr>
                              <w:ilvl w:val="0"/>
                              <w:numId w:val="6"/>
                            </w:numPr>
                            <w:spacing w:line="240" w:lineRule="auto"/>
                            <w:rPr>
                              <w:i/>
                              <w:sz w:val="24"/>
                              <w:szCs w:val="24"/>
                              <w:lang w:val="en-US"/>
                            </w:rPr>
                          </w:pPr>
                          <w:r>
                            <w:rPr>
                              <w:i/>
                              <w:sz w:val="24"/>
                              <w:szCs w:val="24"/>
                              <w:lang w:val="en-US"/>
                            </w:rPr>
                            <w:t>I</w:t>
                          </w:r>
                          <w:r w:rsidRPr="00F74C7A">
                            <w:rPr>
                              <w:i/>
                              <w:sz w:val="24"/>
                              <w:szCs w:val="24"/>
                              <w:lang w:val="en-US"/>
                            </w:rPr>
                            <w:t>ntroduce site-specific controls relating to sun access, design excellence and the preparation of a development control plan</w:t>
                          </w:r>
                          <w:r>
                            <w:rPr>
                              <w:i/>
                              <w:sz w:val="24"/>
                              <w:szCs w:val="24"/>
                              <w:lang w:val="en-US"/>
                            </w:rPr>
                            <w:t>.</w:t>
                          </w:r>
                        </w:p>
                      </w:txbxContent>
                    </v:textbox>
                    <w10:wrap anchorx="margin"/>
                  </v:shape>
                </w:pict>
              </mc:Fallback>
            </mc:AlternateContent>
          </w:r>
          <w:r w:rsidR="006229F9" w:rsidRPr="00851E9E">
            <w:rPr>
              <w:rFonts w:ascii="Arial" w:hAnsi="Arial" w:cs="Arial"/>
              <w:noProof/>
              <w:lang w:val="en-AU" w:eastAsia="en-AU"/>
            </w:rPr>
            <w:drawing>
              <wp:anchor distT="0" distB="0" distL="114300" distR="114300" simplePos="0" relativeHeight="251654147" behindDoc="1" locked="0" layoutInCell="1" allowOverlap="1" wp14:anchorId="5B503168" wp14:editId="02571CF4">
                <wp:simplePos x="0" y="0"/>
                <wp:positionH relativeFrom="margin">
                  <wp:align>center</wp:align>
                </wp:positionH>
                <wp:positionV relativeFrom="paragraph">
                  <wp:posOffset>-1071125</wp:posOffset>
                </wp:positionV>
                <wp:extent cx="7654925" cy="10824845"/>
                <wp:effectExtent l="0" t="0" r="317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 Purple.jpg"/>
                        <pic:cNvPicPr/>
                      </pic:nvPicPr>
                      <pic:blipFill>
                        <a:blip r:embed="rId16" cstate="print">
                          <a:extLst>
                            <a:ext uri="{28A0092B-C50C-407E-A947-70E740481C1C}">
                              <a14:useLocalDpi xmlns:a14="http://schemas.microsoft.com/office/drawing/2010/main"/>
                            </a:ext>
                          </a:extLst>
                        </a:blip>
                        <a:stretch>
                          <a:fillRect/>
                        </a:stretch>
                      </pic:blipFill>
                      <pic:spPr>
                        <a:xfrm>
                          <a:off x="0" y="0"/>
                          <a:ext cx="7654925" cy="10824845"/>
                        </a:xfrm>
                        <a:prstGeom prst="rect">
                          <a:avLst/>
                        </a:prstGeom>
                      </pic:spPr>
                    </pic:pic>
                  </a:graphicData>
                </a:graphic>
                <wp14:sizeRelH relativeFrom="page">
                  <wp14:pctWidth>0</wp14:pctWidth>
                </wp14:sizeRelH>
                <wp14:sizeRelV relativeFrom="page">
                  <wp14:pctHeight>0</wp14:pctHeight>
                </wp14:sizeRelV>
              </wp:anchor>
            </w:drawing>
          </w:r>
          <w:r w:rsidR="00372456" w:rsidRPr="00851E9E">
            <w:rPr>
              <w:rFonts w:ascii="Arial" w:hAnsi="Arial" w:cs="Arial"/>
              <w:noProof/>
              <w:lang w:val="en-AU" w:eastAsia="en-AU"/>
            </w:rPr>
            <mc:AlternateContent>
              <mc:Choice Requires="wps">
                <w:drawing>
                  <wp:anchor distT="0" distB="0" distL="114300" distR="114300" simplePos="0" relativeHeight="251654146" behindDoc="0" locked="0" layoutInCell="1" allowOverlap="1" wp14:anchorId="3ED158C8" wp14:editId="62FE6207">
                    <wp:simplePos x="0" y="0"/>
                    <wp:positionH relativeFrom="column">
                      <wp:posOffset>307975</wp:posOffset>
                    </wp:positionH>
                    <wp:positionV relativeFrom="paragraph">
                      <wp:posOffset>7173595</wp:posOffset>
                    </wp:positionV>
                    <wp:extent cx="2374265" cy="1403985"/>
                    <wp:effectExtent l="0" t="0" r="0" b="444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6AAB5A4B" w14:textId="1ED916DF" w:rsidR="003652C9" w:rsidRPr="00591938" w:rsidRDefault="003652C9" w:rsidP="006F5101">
                                <w:pPr>
                                  <w:pStyle w:val="Body-Black"/>
                                  <w:spacing w:line="240" w:lineRule="auto"/>
                                  <w:rPr>
                                    <w:i/>
                                    <w:color w:val="FFFFFF"/>
                                    <w:sz w:val="28"/>
                                  </w:rPr>
                                </w:pPr>
                                <w:r w:rsidRPr="00591938">
                                  <w:rPr>
                                    <w:color w:val="FFFFFF"/>
                                    <w:sz w:val="28"/>
                                  </w:rPr>
                                  <w:fldChar w:fldCharType="begin"/>
                                </w:r>
                                <w:r w:rsidRPr="00591938">
                                  <w:rPr>
                                    <w:color w:val="FFFFFF"/>
                                    <w:sz w:val="28"/>
                                  </w:rPr>
                                  <w:instrText xml:space="preserve"> DATE \@ "d MMMM yyyy" </w:instrText>
                                </w:r>
                                <w:r w:rsidRPr="00591938">
                                  <w:rPr>
                                    <w:color w:val="FFFFFF"/>
                                    <w:sz w:val="28"/>
                                  </w:rPr>
                                  <w:fldChar w:fldCharType="separate"/>
                                </w:r>
                                <w:r w:rsidR="00970773">
                                  <w:rPr>
                                    <w:noProof/>
                                    <w:color w:val="FFFFFF"/>
                                    <w:sz w:val="28"/>
                                  </w:rPr>
                                  <w:t>18 December 2020</w:t>
                                </w:r>
                                <w:r w:rsidRPr="00591938">
                                  <w:rPr>
                                    <w:color w:val="FFFFFF"/>
                                    <w:sz w:val="28"/>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D158C8" id="_x0000_s1027" type="#_x0000_t202" style="position:absolute;margin-left:24.25pt;margin-top:564.85pt;width:186.95pt;height:110.55pt;z-index:25165414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" filled="f" stroked="f">
                    <v:textbox style="mso-fit-shape-to-text:t">
                      <w:txbxContent>
                        <w:p w14:paraId="6AAB5A4B" w14:textId="1ED916DF" w:rsidR="003652C9" w:rsidRPr="00591938" w:rsidRDefault="003652C9" w:rsidP="006F5101">
                          <w:pPr>
                            <w:pStyle w:val="Body-Black"/>
                            <w:spacing w:line="240" w:lineRule="auto"/>
                            <w:rPr>
                              <w:i/>
                              <w:color w:val="FFFFFF"/>
                              <w:sz w:val="28"/>
                            </w:rPr>
                          </w:pPr>
                          <w:r w:rsidRPr="00591938">
                            <w:rPr>
                              <w:color w:val="FFFFFF"/>
                              <w:sz w:val="28"/>
                            </w:rPr>
                            <w:fldChar w:fldCharType="begin"/>
                          </w:r>
                          <w:r w:rsidRPr="00591938">
                            <w:rPr>
                              <w:color w:val="FFFFFF"/>
                              <w:sz w:val="28"/>
                            </w:rPr>
                            <w:instrText xml:space="preserve"> DATE \@ "d MMMM yyyy" </w:instrText>
                          </w:r>
                          <w:r w:rsidRPr="00591938">
                            <w:rPr>
                              <w:color w:val="FFFFFF"/>
                              <w:sz w:val="28"/>
                            </w:rPr>
                            <w:fldChar w:fldCharType="separate"/>
                          </w:r>
                          <w:r w:rsidR="00970773">
                            <w:rPr>
                              <w:noProof/>
                              <w:color w:val="FFFFFF"/>
                              <w:sz w:val="28"/>
                            </w:rPr>
                            <w:t>18 December 2020</w:t>
                          </w:r>
                          <w:r w:rsidRPr="00591938">
                            <w:rPr>
                              <w:color w:val="FFFFFF"/>
                              <w:sz w:val="28"/>
                            </w:rPr>
                            <w:fldChar w:fldCharType="end"/>
                          </w:r>
                        </w:p>
                      </w:txbxContent>
                    </v:textbox>
                  </v:shape>
                </w:pict>
              </mc:Fallback>
            </mc:AlternateContent>
          </w:r>
          <w:r w:rsidR="0033070E" w:rsidRPr="00851E9E">
            <w:rPr>
              <w:rFonts w:ascii="Arial" w:hAnsi="Arial" w:cs="Arial"/>
              <w:noProof/>
              <w:lang w:val="en-AU" w:eastAsia="en-AU"/>
            </w:rPr>
            <mc:AlternateContent>
              <mc:Choice Requires="wps">
                <w:drawing>
                  <wp:anchor distT="0" distB="0" distL="114300" distR="114300" simplePos="0" relativeHeight="251654144" behindDoc="0" locked="0" layoutInCell="1" allowOverlap="1" wp14:anchorId="21AC249B" wp14:editId="540398E3">
                    <wp:simplePos x="0" y="0"/>
                    <wp:positionH relativeFrom="column">
                      <wp:posOffset>616585</wp:posOffset>
                    </wp:positionH>
                    <wp:positionV relativeFrom="paragraph">
                      <wp:posOffset>2153920</wp:posOffset>
                    </wp:positionV>
                    <wp:extent cx="4969510" cy="63563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635635"/>
                            </a:xfrm>
                            <a:prstGeom prst="rect">
                              <a:avLst/>
                            </a:prstGeom>
                            <a:noFill/>
                            <a:ln w="9525">
                              <a:noFill/>
                              <a:miter lim="800000"/>
                              <a:headEnd/>
                              <a:tailEnd/>
                            </a:ln>
                          </wps:spPr>
                          <wps:txbx>
                            <w:txbxContent>
                              <w:p w14:paraId="703B8B62" w14:textId="77777777" w:rsidR="003652C9" w:rsidRPr="00C250D0" w:rsidRDefault="003652C9" w:rsidP="00C250D0">
                                <w:pPr>
                                  <w:pStyle w:val="Title-Black"/>
                                  <w:rPr>
                                    <w:sz w:val="72"/>
                                  </w:rPr>
                                </w:pPr>
                                <w:r w:rsidRPr="00C250D0">
                                  <w:rPr>
                                    <w:sz w:val="72"/>
                                  </w:rPr>
                                  <w:t>Planning Proposal</w:t>
                                </w:r>
                              </w:p>
                              <w:p w14:paraId="375F2178" w14:textId="77777777" w:rsidR="003652C9" w:rsidRPr="00CF004F" w:rsidRDefault="003652C9" w:rsidP="006C6098">
                                <w:pPr>
                                  <w:pStyle w:val="Title-Black"/>
                                  <w:rPr>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C249B" id="_x0000_s1028" type="#_x0000_t202" style="position:absolute;margin-left:48.55pt;margin-top:169.6pt;width:391.3pt;height:5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" filled="f" stroked="f">
                    <v:textbox>
                      <w:txbxContent>
                        <w:p w14:paraId="703B8B62" w14:textId="77777777" w:rsidR="003652C9" w:rsidRPr="00C250D0" w:rsidRDefault="003652C9" w:rsidP="00C250D0">
                          <w:pPr>
                            <w:pStyle w:val="Title-Black"/>
                            <w:rPr>
                              <w:sz w:val="72"/>
                            </w:rPr>
                          </w:pPr>
                          <w:r w:rsidRPr="00C250D0">
                            <w:rPr>
                              <w:sz w:val="72"/>
                            </w:rPr>
                            <w:t>Planning Proposal</w:t>
                          </w:r>
                        </w:p>
                        <w:p w14:paraId="375F2178" w14:textId="77777777" w:rsidR="003652C9" w:rsidRPr="00CF004F" w:rsidRDefault="003652C9" w:rsidP="006C6098">
                          <w:pPr>
                            <w:pStyle w:val="Title-Black"/>
                            <w:rPr>
                              <w:sz w:val="72"/>
                            </w:rPr>
                          </w:pPr>
                        </w:p>
                      </w:txbxContent>
                    </v:textbox>
                  </v:shape>
                </w:pict>
              </mc:Fallback>
            </mc:AlternateContent>
          </w:r>
          <w:r w:rsidR="00CE3BE0" w:rsidRPr="00851E9E">
            <w:rPr>
              <w:rFonts w:ascii="Arial" w:hAnsi="Arial" w:cs="Arial"/>
            </w:rPr>
            <w:t xml:space="preserve"> </w:t>
          </w:r>
        </w:p>
        <w:p w14:paraId="4FAE8CC8" w14:textId="77777777" w:rsidR="00234E82" w:rsidRPr="00851E9E" w:rsidRDefault="000F5054" w:rsidP="007A68A8">
          <w:pPr>
            <w:rPr>
              <w:rFonts w:ascii="Arial" w:hAnsi="Arial" w:cs="Arial"/>
              <w:lang w:eastAsia="ja-JP"/>
            </w:rPr>
          </w:pPr>
        </w:p>
      </w:sdtContent>
    </w:sdt>
    <w:sdt>
      <w:sdtPr>
        <w:rPr>
          <w:rFonts w:asciiTheme="minorHAnsi" w:eastAsiaTheme="minorHAnsi" w:hAnsiTheme="minorHAnsi" w:cs="Arial"/>
          <w:b w:val="0"/>
          <w:noProof/>
          <w:color w:val="auto"/>
          <w:sz w:val="22"/>
          <w:szCs w:val="22"/>
          <w:lang w:eastAsia="ja-JP"/>
        </w:rPr>
        <w:id w:val="-54313621"/>
        <w:docPartObj>
          <w:docPartGallery w:val="Table of Contents"/>
          <w:docPartUnique/>
        </w:docPartObj>
      </w:sdtPr>
      <w:sdtEndPr>
        <w:rPr>
          <w:bCs/>
        </w:rPr>
      </w:sdtEndPr>
      <w:sdtContent>
        <w:p w14:paraId="53E8353B" w14:textId="445E59E3" w:rsidR="009F3F2D" w:rsidRPr="009F3F2D" w:rsidRDefault="00C250D0" w:rsidP="009F3F2D">
          <w:pPr>
            <w:pStyle w:val="TOCHeading"/>
            <w:spacing w:line="360" w:lineRule="auto"/>
            <w:rPr>
              <w:rFonts w:cs="Arial"/>
            </w:rPr>
          </w:pPr>
          <w:r w:rsidRPr="0010675F">
            <w:rPr>
              <w:rFonts w:cs="Arial"/>
              <w:lang w:eastAsia="ja-JP"/>
            </w:rPr>
            <w:t>Table</w:t>
          </w:r>
          <w:r w:rsidRPr="0010675F">
            <w:rPr>
              <w:rFonts w:cs="Arial"/>
            </w:rPr>
            <w:t xml:space="preserve"> of Contents</w:t>
          </w:r>
        </w:p>
        <w:p w14:paraId="78B42321" w14:textId="756C248D" w:rsidR="00CC6323" w:rsidRDefault="00830291">
          <w:pPr>
            <w:pStyle w:val="TOC1"/>
            <w:rPr>
              <w:rFonts w:eastAsiaTheme="minorEastAsia"/>
              <w:lang w:val="en-AU" w:eastAsia="en-AU"/>
            </w:rPr>
          </w:pPr>
          <w:r w:rsidRPr="0010675F">
            <w:rPr>
              <w:rFonts w:ascii="Arial" w:hAnsi="Arial" w:cs="Arial"/>
              <w:sz w:val="16"/>
              <w:szCs w:val="20"/>
            </w:rPr>
            <w:fldChar w:fldCharType="begin"/>
          </w:r>
          <w:r w:rsidRPr="0010675F">
            <w:rPr>
              <w:rFonts w:ascii="Arial" w:hAnsi="Arial" w:cs="Arial"/>
              <w:sz w:val="16"/>
              <w:szCs w:val="20"/>
            </w:rPr>
            <w:instrText xml:space="preserve"> TOC \o "1-2" \h \z \u </w:instrText>
          </w:r>
          <w:r w:rsidRPr="0010675F">
            <w:rPr>
              <w:rFonts w:ascii="Arial" w:hAnsi="Arial" w:cs="Arial"/>
              <w:sz w:val="16"/>
              <w:szCs w:val="20"/>
            </w:rPr>
            <w:fldChar w:fldCharType="separate"/>
          </w:r>
          <w:hyperlink w:anchor="_Toc59014406" w:history="1">
            <w:r w:rsidR="00CC6323" w:rsidRPr="006A7094">
              <w:rPr>
                <w:rStyle w:val="Hyperlink"/>
              </w:rPr>
              <w:t>Foreword</w:t>
            </w:r>
            <w:r w:rsidR="00CC6323">
              <w:rPr>
                <w:webHidden/>
              </w:rPr>
              <w:tab/>
            </w:r>
            <w:r w:rsidR="00CC6323">
              <w:rPr>
                <w:webHidden/>
              </w:rPr>
              <w:fldChar w:fldCharType="begin"/>
            </w:r>
            <w:r w:rsidR="00CC6323">
              <w:rPr>
                <w:webHidden/>
              </w:rPr>
              <w:instrText xml:space="preserve"> PAGEREF _Toc59014406 \h </w:instrText>
            </w:r>
            <w:r w:rsidR="00CC6323">
              <w:rPr>
                <w:webHidden/>
              </w:rPr>
            </w:r>
            <w:r w:rsidR="00CC6323">
              <w:rPr>
                <w:webHidden/>
              </w:rPr>
              <w:fldChar w:fldCharType="separate"/>
            </w:r>
            <w:r w:rsidR="00935187">
              <w:rPr>
                <w:webHidden/>
              </w:rPr>
              <w:t>3</w:t>
            </w:r>
            <w:r w:rsidR="00CC6323">
              <w:rPr>
                <w:webHidden/>
              </w:rPr>
              <w:fldChar w:fldCharType="end"/>
            </w:r>
          </w:hyperlink>
        </w:p>
        <w:p w14:paraId="31B4A6A5" w14:textId="6AB66A3E" w:rsidR="00CC6323" w:rsidRDefault="000F5054">
          <w:pPr>
            <w:pStyle w:val="TOC1"/>
            <w:rPr>
              <w:rFonts w:eastAsiaTheme="minorEastAsia"/>
              <w:lang w:val="en-AU" w:eastAsia="en-AU"/>
            </w:rPr>
          </w:pPr>
          <w:hyperlink w:anchor="_Toc59014407" w:history="1">
            <w:r w:rsidR="00CC6323" w:rsidRPr="006A7094">
              <w:rPr>
                <w:rStyle w:val="Hyperlink"/>
              </w:rPr>
              <w:t>Introduction</w:t>
            </w:r>
            <w:r w:rsidR="00CC6323">
              <w:rPr>
                <w:webHidden/>
              </w:rPr>
              <w:tab/>
            </w:r>
            <w:r w:rsidR="00CC6323">
              <w:rPr>
                <w:webHidden/>
              </w:rPr>
              <w:fldChar w:fldCharType="begin"/>
            </w:r>
            <w:r w:rsidR="00CC6323">
              <w:rPr>
                <w:webHidden/>
              </w:rPr>
              <w:instrText xml:space="preserve"> PAGEREF _Toc59014407 \h </w:instrText>
            </w:r>
            <w:r w:rsidR="00CC6323">
              <w:rPr>
                <w:webHidden/>
              </w:rPr>
            </w:r>
            <w:r w:rsidR="00CC6323">
              <w:rPr>
                <w:webHidden/>
              </w:rPr>
              <w:fldChar w:fldCharType="separate"/>
            </w:r>
            <w:r w:rsidR="00935187">
              <w:rPr>
                <w:webHidden/>
              </w:rPr>
              <w:t>4</w:t>
            </w:r>
            <w:r w:rsidR="00CC6323">
              <w:rPr>
                <w:webHidden/>
              </w:rPr>
              <w:fldChar w:fldCharType="end"/>
            </w:r>
          </w:hyperlink>
        </w:p>
        <w:p w14:paraId="7A69D2F1" w14:textId="6D6D4E0B" w:rsidR="00CC6323" w:rsidRDefault="000F5054">
          <w:pPr>
            <w:pStyle w:val="TOC2"/>
            <w:tabs>
              <w:tab w:val="right" w:leader="dot" w:pos="9350"/>
            </w:tabs>
            <w:rPr>
              <w:rFonts w:eastAsiaTheme="minorEastAsia"/>
              <w:noProof/>
              <w:lang w:val="en-AU" w:eastAsia="en-AU"/>
            </w:rPr>
          </w:pPr>
          <w:hyperlink w:anchor="_Toc59014408" w:history="1">
            <w:r w:rsidR="00CC6323" w:rsidRPr="006A7094">
              <w:rPr>
                <w:rStyle w:val="Hyperlink"/>
                <w:noProof/>
                <w:lang w:eastAsia="ja-JP"/>
              </w:rPr>
              <w:t>Project Background</w:t>
            </w:r>
            <w:r w:rsidR="00CC6323">
              <w:rPr>
                <w:noProof/>
                <w:webHidden/>
              </w:rPr>
              <w:tab/>
            </w:r>
            <w:r w:rsidR="00CC6323">
              <w:rPr>
                <w:noProof/>
                <w:webHidden/>
              </w:rPr>
              <w:fldChar w:fldCharType="begin"/>
            </w:r>
            <w:r w:rsidR="00CC6323">
              <w:rPr>
                <w:noProof/>
                <w:webHidden/>
              </w:rPr>
              <w:instrText xml:space="preserve"> PAGEREF _Toc59014408 \h </w:instrText>
            </w:r>
            <w:r w:rsidR="00CC6323">
              <w:rPr>
                <w:noProof/>
                <w:webHidden/>
              </w:rPr>
            </w:r>
            <w:r w:rsidR="00CC6323">
              <w:rPr>
                <w:noProof/>
                <w:webHidden/>
              </w:rPr>
              <w:fldChar w:fldCharType="separate"/>
            </w:r>
            <w:r w:rsidR="00935187">
              <w:rPr>
                <w:noProof/>
                <w:webHidden/>
              </w:rPr>
              <w:t>5</w:t>
            </w:r>
            <w:r w:rsidR="00CC6323">
              <w:rPr>
                <w:noProof/>
                <w:webHidden/>
              </w:rPr>
              <w:fldChar w:fldCharType="end"/>
            </w:r>
          </w:hyperlink>
        </w:p>
        <w:p w14:paraId="48CE60EF" w14:textId="5BE55F43" w:rsidR="00CC6323" w:rsidRDefault="000F5054">
          <w:pPr>
            <w:pStyle w:val="TOC2"/>
            <w:tabs>
              <w:tab w:val="right" w:leader="dot" w:pos="9350"/>
            </w:tabs>
            <w:rPr>
              <w:rFonts w:eastAsiaTheme="minorEastAsia"/>
              <w:noProof/>
              <w:lang w:val="en-AU" w:eastAsia="en-AU"/>
            </w:rPr>
          </w:pPr>
          <w:hyperlink w:anchor="_Toc59014409" w:history="1">
            <w:r w:rsidR="00CC6323" w:rsidRPr="006A7094">
              <w:rPr>
                <w:rStyle w:val="Hyperlink"/>
                <w:noProof/>
                <w:lang w:eastAsia="ja-JP"/>
              </w:rPr>
              <w:t>Report Structure</w:t>
            </w:r>
            <w:r w:rsidR="00CC6323">
              <w:rPr>
                <w:noProof/>
                <w:webHidden/>
              </w:rPr>
              <w:tab/>
            </w:r>
            <w:r w:rsidR="00CC6323">
              <w:rPr>
                <w:noProof/>
                <w:webHidden/>
              </w:rPr>
              <w:fldChar w:fldCharType="begin"/>
            </w:r>
            <w:r w:rsidR="00CC6323">
              <w:rPr>
                <w:noProof/>
                <w:webHidden/>
              </w:rPr>
              <w:instrText xml:space="preserve"> PAGEREF _Toc59014409 \h </w:instrText>
            </w:r>
            <w:r w:rsidR="00CC6323">
              <w:rPr>
                <w:noProof/>
                <w:webHidden/>
              </w:rPr>
            </w:r>
            <w:r w:rsidR="00CC6323">
              <w:rPr>
                <w:noProof/>
                <w:webHidden/>
              </w:rPr>
              <w:fldChar w:fldCharType="separate"/>
            </w:r>
            <w:r w:rsidR="00935187">
              <w:rPr>
                <w:noProof/>
                <w:webHidden/>
              </w:rPr>
              <w:t>6</w:t>
            </w:r>
            <w:r w:rsidR="00CC6323">
              <w:rPr>
                <w:noProof/>
                <w:webHidden/>
              </w:rPr>
              <w:fldChar w:fldCharType="end"/>
            </w:r>
          </w:hyperlink>
        </w:p>
        <w:p w14:paraId="3069948E" w14:textId="1FA17F06" w:rsidR="00CC6323" w:rsidRDefault="000F5054">
          <w:pPr>
            <w:pStyle w:val="TOC1"/>
            <w:rPr>
              <w:rFonts w:eastAsiaTheme="minorEastAsia"/>
              <w:lang w:val="en-AU" w:eastAsia="en-AU"/>
            </w:rPr>
          </w:pPr>
          <w:hyperlink w:anchor="_Toc59014410" w:history="1">
            <w:r w:rsidR="00CC6323" w:rsidRPr="006A7094">
              <w:rPr>
                <w:rStyle w:val="Hyperlink"/>
              </w:rPr>
              <w:t>Site description</w:t>
            </w:r>
            <w:r w:rsidR="00CC6323">
              <w:rPr>
                <w:webHidden/>
              </w:rPr>
              <w:tab/>
            </w:r>
            <w:r w:rsidR="00CC6323">
              <w:rPr>
                <w:webHidden/>
              </w:rPr>
              <w:fldChar w:fldCharType="begin"/>
            </w:r>
            <w:r w:rsidR="00CC6323">
              <w:rPr>
                <w:webHidden/>
              </w:rPr>
              <w:instrText xml:space="preserve"> PAGEREF _Toc59014410 \h </w:instrText>
            </w:r>
            <w:r w:rsidR="00CC6323">
              <w:rPr>
                <w:webHidden/>
              </w:rPr>
            </w:r>
            <w:r w:rsidR="00CC6323">
              <w:rPr>
                <w:webHidden/>
              </w:rPr>
              <w:fldChar w:fldCharType="separate"/>
            </w:r>
            <w:r w:rsidR="00935187">
              <w:rPr>
                <w:webHidden/>
              </w:rPr>
              <w:t>7</w:t>
            </w:r>
            <w:r w:rsidR="00CC6323">
              <w:rPr>
                <w:webHidden/>
              </w:rPr>
              <w:fldChar w:fldCharType="end"/>
            </w:r>
          </w:hyperlink>
        </w:p>
        <w:p w14:paraId="5D74DC5B" w14:textId="35993CE5" w:rsidR="00CC6323" w:rsidRDefault="000F5054">
          <w:pPr>
            <w:pStyle w:val="TOC1"/>
            <w:rPr>
              <w:rFonts w:eastAsiaTheme="minorEastAsia"/>
              <w:lang w:val="en-AU" w:eastAsia="en-AU"/>
            </w:rPr>
          </w:pPr>
          <w:hyperlink w:anchor="_Toc59014411" w:history="1">
            <w:r w:rsidR="00CC6323" w:rsidRPr="006A7094">
              <w:rPr>
                <w:rStyle w:val="Hyperlink"/>
              </w:rPr>
              <w:t>Overview</w:t>
            </w:r>
            <w:r w:rsidR="00CC6323">
              <w:rPr>
                <w:webHidden/>
              </w:rPr>
              <w:tab/>
            </w:r>
            <w:r w:rsidR="00CC6323">
              <w:rPr>
                <w:webHidden/>
              </w:rPr>
              <w:fldChar w:fldCharType="begin"/>
            </w:r>
            <w:r w:rsidR="00CC6323">
              <w:rPr>
                <w:webHidden/>
              </w:rPr>
              <w:instrText xml:space="preserve"> PAGEREF _Toc59014411 \h </w:instrText>
            </w:r>
            <w:r w:rsidR="00CC6323">
              <w:rPr>
                <w:webHidden/>
              </w:rPr>
            </w:r>
            <w:r w:rsidR="00CC6323">
              <w:rPr>
                <w:webHidden/>
              </w:rPr>
              <w:fldChar w:fldCharType="separate"/>
            </w:r>
            <w:r w:rsidR="00935187">
              <w:rPr>
                <w:webHidden/>
              </w:rPr>
              <w:t>7</w:t>
            </w:r>
            <w:r w:rsidR="00CC6323">
              <w:rPr>
                <w:webHidden/>
              </w:rPr>
              <w:fldChar w:fldCharType="end"/>
            </w:r>
          </w:hyperlink>
        </w:p>
        <w:p w14:paraId="673687EA" w14:textId="31AB2DA8" w:rsidR="00CC6323" w:rsidRDefault="000F5054">
          <w:pPr>
            <w:pStyle w:val="TOC1"/>
            <w:rPr>
              <w:rFonts w:eastAsiaTheme="minorEastAsia"/>
              <w:lang w:val="en-AU" w:eastAsia="en-AU"/>
            </w:rPr>
          </w:pPr>
          <w:hyperlink w:anchor="_Toc59014412" w:history="1">
            <w:r w:rsidR="00CC6323" w:rsidRPr="006A7094">
              <w:rPr>
                <w:rStyle w:val="Hyperlink"/>
              </w:rPr>
              <w:t>Site Context and Locality</w:t>
            </w:r>
            <w:r w:rsidR="00CC6323">
              <w:rPr>
                <w:webHidden/>
              </w:rPr>
              <w:tab/>
            </w:r>
            <w:r w:rsidR="00CC6323">
              <w:rPr>
                <w:webHidden/>
              </w:rPr>
              <w:fldChar w:fldCharType="begin"/>
            </w:r>
            <w:r w:rsidR="00CC6323">
              <w:rPr>
                <w:webHidden/>
              </w:rPr>
              <w:instrText xml:space="preserve"> PAGEREF _Toc59014412 \h </w:instrText>
            </w:r>
            <w:r w:rsidR="00CC6323">
              <w:rPr>
                <w:webHidden/>
              </w:rPr>
            </w:r>
            <w:r w:rsidR="00CC6323">
              <w:rPr>
                <w:webHidden/>
              </w:rPr>
              <w:fldChar w:fldCharType="separate"/>
            </w:r>
            <w:r w:rsidR="00935187">
              <w:rPr>
                <w:webHidden/>
              </w:rPr>
              <w:t>7</w:t>
            </w:r>
            <w:r w:rsidR="00CC6323">
              <w:rPr>
                <w:webHidden/>
              </w:rPr>
              <w:fldChar w:fldCharType="end"/>
            </w:r>
          </w:hyperlink>
        </w:p>
        <w:p w14:paraId="32091BB0" w14:textId="3D45944C" w:rsidR="00CC6323" w:rsidRDefault="000F5054">
          <w:pPr>
            <w:pStyle w:val="TOC2"/>
            <w:tabs>
              <w:tab w:val="right" w:leader="dot" w:pos="9350"/>
            </w:tabs>
            <w:rPr>
              <w:rFonts w:eastAsiaTheme="minorEastAsia"/>
              <w:noProof/>
              <w:lang w:val="en-AU" w:eastAsia="en-AU"/>
            </w:rPr>
          </w:pPr>
          <w:hyperlink w:anchor="_Toc59014413" w:history="1">
            <w:r w:rsidR="00CC6323" w:rsidRPr="006A7094">
              <w:rPr>
                <w:rStyle w:val="Hyperlink"/>
                <w:noProof/>
                <w:lang w:eastAsia="ja-JP"/>
              </w:rPr>
              <w:t>Site Description</w:t>
            </w:r>
            <w:r w:rsidR="00CC6323">
              <w:rPr>
                <w:noProof/>
                <w:webHidden/>
              </w:rPr>
              <w:tab/>
            </w:r>
            <w:r w:rsidR="00CC6323">
              <w:rPr>
                <w:noProof/>
                <w:webHidden/>
              </w:rPr>
              <w:fldChar w:fldCharType="begin"/>
            </w:r>
            <w:r w:rsidR="00CC6323">
              <w:rPr>
                <w:noProof/>
                <w:webHidden/>
              </w:rPr>
              <w:instrText xml:space="preserve"> PAGEREF _Toc59014413 \h </w:instrText>
            </w:r>
            <w:r w:rsidR="00CC6323">
              <w:rPr>
                <w:noProof/>
                <w:webHidden/>
              </w:rPr>
            </w:r>
            <w:r w:rsidR="00CC6323">
              <w:rPr>
                <w:noProof/>
                <w:webHidden/>
              </w:rPr>
              <w:fldChar w:fldCharType="separate"/>
            </w:r>
            <w:r w:rsidR="00935187">
              <w:rPr>
                <w:noProof/>
                <w:webHidden/>
              </w:rPr>
              <w:t>9</w:t>
            </w:r>
            <w:r w:rsidR="00CC6323">
              <w:rPr>
                <w:noProof/>
                <w:webHidden/>
              </w:rPr>
              <w:fldChar w:fldCharType="end"/>
            </w:r>
          </w:hyperlink>
        </w:p>
        <w:p w14:paraId="2277F632" w14:textId="390769D5" w:rsidR="00CC6323" w:rsidRDefault="000F5054">
          <w:pPr>
            <w:pStyle w:val="TOC2"/>
            <w:tabs>
              <w:tab w:val="right" w:leader="dot" w:pos="9350"/>
            </w:tabs>
            <w:rPr>
              <w:rFonts w:eastAsiaTheme="minorEastAsia"/>
              <w:noProof/>
              <w:lang w:val="en-AU" w:eastAsia="en-AU"/>
            </w:rPr>
          </w:pPr>
          <w:hyperlink w:anchor="_Toc59014414" w:history="1">
            <w:r w:rsidR="00CC6323" w:rsidRPr="006A7094">
              <w:rPr>
                <w:rStyle w:val="Hyperlink"/>
                <w:noProof/>
                <w:lang w:eastAsia="ja-JP"/>
              </w:rPr>
              <w:t>Context</w:t>
            </w:r>
            <w:r w:rsidR="00CC6323">
              <w:rPr>
                <w:noProof/>
                <w:webHidden/>
              </w:rPr>
              <w:tab/>
            </w:r>
            <w:r w:rsidR="00CC6323">
              <w:rPr>
                <w:noProof/>
                <w:webHidden/>
              </w:rPr>
              <w:fldChar w:fldCharType="begin"/>
            </w:r>
            <w:r w:rsidR="00CC6323">
              <w:rPr>
                <w:noProof/>
                <w:webHidden/>
              </w:rPr>
              <w:instrText xml:space="preserve"> PAGEREF _Toc59014414 \h </w:instrText>
            </w:r>
            <w:r w:rsidR="00CC6323">
              <w:rPr>
                <w:noProof/>
                <w:webHidden/>
              </w:rPr>
            </w:r>
            <w:r w:rsidR="00CC6323">
              <w:rPr>
                <w:noProof/>
                <w:webHidden/>
              </w:rPr>
              <w:fldChar w:fldCharType="separate"/>
            </w:r>
            <w:r w:rsidR="00935187">
              <w:rPr>
                <w:noProof/>
                <w:webHidden/>
              </w:rPr>
              <w:t>10</w:t>
            </w:r>
            <w:r w:rsidR="00CC6323">
              <w:rPr>
                <w:noProof/>
                <w:webHidden/>
              </w:rPr>
              <w:fldChar w:fldCharType="end"/>
            </w:r>
          </w:hyperlink>
        </w:p>
        <w:p w14:paraId="6F2CAC09" w14:textId="2BA35B4E" w:rsidR="00CC6323" w:rsidRDefault="000F5054">
          <w:pPr>
            <w:pStyle w:val="TOC2"/>
            <w:tabs>
              <w:tab w:val="right" w:leader="dot" w:pos="9350"/>
            </w:tabs>
            <w:rPr>
              <w:rFonts w:eastAsiaTheme="minorEastAsia"/>
              <w:noProof/>
              <w:lang w:val="en-AU" w:eastAsia="en-AU"/>
            </w:rPr>
          </w:pPr>
          <w:hyperlink w:anchor="_Toc59014415" w:history="1">
            <w:r w:rsidR="00CC6323" w:rsidRPr="006A7094">
              <w:rPr>
                <w:rStyle w:val="Hyperlink"/>
                <w:noProof/>
                <w:lang w:eastAsia="ja-JP"/>
              </w:rPr>
              <w:t>Adjoining Sites</w:t>
            </w:r>
            <w:r w:rsidR="00CC6323">
              <w:rPr>
                <w:noProof/>
                <w:webHidden/>
              </w:rPr>
              <w:tab/>
            </w:r>
            <w:r w:rsidR="00CC6323">
              <w:rPr>
                <w:noProof/>
                <w:webHidden/>
              </w:rPr>
              <w:fldChar w:fldCharType="begin"/>
            </w:r>
            <w:r w:rsidR="00CC6323">
              <w:rPr>
                <w:noProof/>
                <w:webHidden/>
              </w:rPr>
              <w:instrText xml:space="preserve"> PAGEREF _Toc59014415 \h </w:instrText>
            </w:r>
            <w:r w:rsidR="00CC6323">
              <w:rPr>
                <w:noProof/>
                <w:webHidden/>
              </w:rPr>
            </w:r>
            <w:r w:rsidR="00CC6323">
              <w:rPr>
                <w:noProof/>
                <w:webHidden/>
              </w:rPr>
              <w:fldChar w:fldCharType="separate"/>
            </w:r>
            <w:r w:rsidR="00935187">
              <w:rPr>
                <w:noProof/>
                <w:webHidden/>
              </w:rPr>
              <w:t>11</w:t>
            </w:r>
            <w:r w:rsidR="00CC6323">
              <w:rPr>
                <w:noProof/>
                <w:webHidden/>
              </w:rPr>
              <w:fldChar w:fldCharType="end"/>
            </w:r>
          </w:hyperlink>
        </w:p>
        <w:p w14:paraId="1FD0C73D" w14:textId="56F9AE5D" w:rsidR="00CC6323" w:rsidRDefault="000F5054">
          <w:pPr>
            <w:pStyle w:val="TOC1"/>
            <w:rPr>
              <w:rFonts w:eastAsiaTheme="minorEastAsia"/>
              <w:lang w:val="en-AU" w:eastAsia="en-AU"/>
            </w:rPr>
          </w:pPr>
          <w:hyperlink w:anchor="_Toc59014416" w:history="1">
            <w:r w:rsidR="00CC6323" w:rsidRPr="006A7094">
              <w:rPr>
                <w:rStyle w:val="Hyperlink"/>
              </w:rPr>
              <w:t>Statutory Planning Framework</w:t>
            </w:r>
            <w:r w:rsidR="00CC6323">
              <w:rPr>
                <w:webHidden/>
              </w:rPr>
              <w:tab/>
            </w:r>
            <w:r w:rsidR="00CC6323">
              <w:rPr>
                <w:webHidden/>
              </w:rPr>
              <w:fldChar w:fldCharType="begin"/>
            </w:r>
            <w:r w:rsidR="00CC6323">
              <w:rPr>
                <w:webHidden/>
              </w:rPr>
              <w:instrText xml:space="preserve"> PAGEREF _Toc59014416 \h </w:instrText>
            </w:r>
            <w:r w:rsidR="00CC6323">
              <w:rPr>
                <w:webHidden/>
              </w:rPr>
            </w:r>
            <w:r w:rsidR="00CC6323">
              <w:rPr>
                <w:webHidden/>
              </w:rPr>
              <w:fldChar w:fldCharType="separate"/>
            </w:r>
            <w:r w:rsidR="00935187">
              <w:rPr>
                <w:webHidden/>
              </w:rPr>
              <w:t>12</w:t>
            </w:r>
            <w:r w:rsidR="00CC6323">
              <w:rPr>
                <w:webHidden/>
              </w:rPr>
              <w:fldChar w:fldCharType="end"/>
            </w:r>
          </w:hyperlink>
        </w:p>
        <w:p w14:paraId="27782D47" w14:textId="609D9951" w:rsidR="00CC6323" w:rsidRDefault="000F5054">
          <w:pPr>
            <w:pStyle w:val="TOC2"/>
            <w:tabs>
              <w:tab w:val="right" w:leader="dot" w:pos="9350"/>
            </w:tabs>
            <w:rPr>
              <w:rFonts w:eastAsiaTheme="minorEastAsia"/>
              <w:noProof/>
              <w:lang w:val="en-AU" w:eastAsia="en-AU"/>
            </w:rPr>
          </w:pPr>
          <w:hyperlink w:anchor="_Toc59014417" w:history="1">
            <w:r w:rsidR="00CC6323" w:rsidRPr="006A7094">
              <w:rPr>
                <w:rStyle w:val="Hyperlink"/>
                <w:noProof/>
                <w:lang w:eastAsia="ja-JP"/>
              </w:rPr>
              <w:t>Liverpool Local Environmental Plan 2008 (LLEP 2008)</w:t>
            </w:r>
            <w:r w:rsidR="00CC6323">
              <w:rPr>
                <w:noProof/>
                <w:webHidden/>
              </w:rPr>
              <w:tab/>
            </w:r>
            <w:r w:rsidR="00CC6323">
              <w:rPr>
                <w:noProof/>
                <w:webHidden/>
              </w:rPr>
              <w:fldChar w:fldCharType="begin"/>
            </w:r>
            <w:r w:rsidR="00CC6323">
              <w:rPr>
                <w:noProof/>
                <w:webHidden/>
              </w:rPr>
              <w:instrText xml:space="preserve"> PAGEREF _Toc59014417 \h </w:instrText>
            </w:r>
            <w:r w:rsidR="00CC6323">
              <w:rPr>
                <w:noProof/>
                <w:webHidden/>
              </w:rPr>
            </w:r>
            <w:r w:rsidR="00CC6323">
              <w:rPr>
                <w:noProof/>
                <w:webHidden/>
              </w:rPr>
              <w:fldChar w:fldCharType="separate"/>
            </w:r>
            <w:r w:rsidR="00935187">
              <w:rPr>
                <w:noProof/>
                <w:webHidden/>
              </w:rPr>
              <w:t>12</w:t>
            </w:r>
            <w:r w:rsidR="00CC6323">
              <w:rPr>
                <w:noProof/>
                <w:webHidden/>
              </w:rPr>
              <w:fldChar w:fldCharType="end"/>
            </w:r>
          </w:hyperlink>
        </w:p>
        <w:p w14:paraId="486DC686" w14:textId="68DACA48" w:rsidR="00CC6323" w:rsidRDefault="000F5054">
          <w:pPr>
            <w:pStyle w:val="TOC1"/>
            <w:rPr>
              <w:rFonts w:eastAsiaTheme="minorEastAsia"/>
              <w:lang w:val="en-AU" w:eastAsia="en-AU"/>
            </w:rPr>
          </w:pPr>
          <w:hyperlink w:anchor="_Toc59014418" w:history="1">
            <w:r w:rsidR="00CC6323" w:rsidRPr="006A7094">
              <w:rPr>
                <w:rStyle w:val="Hyperlink"/>
              </w:rPr>
              <w:t>Part 1 – Objectives and Intended Outcome</w:t>
            </w:r>
            <w:r w:rsidR="00CC6323">
              <w:rPr>
                <w:webHidden/>
              </w:rPr>
              <w:tab/>
            </w:r>
            <w:r w:rsidR="00CC6323">
              <w:rPr>
                <w:webHidden/>
              </w:rPr>
              <w:fldChar w:fldCharType="begin"/>
            </w:r>
            <w:r w:rsidR="00CC6323">
              <w:rPr>
                <w:webHidden/>
              </w:rPr>
              <w:instrText xml:space="preserve"> PAGEREF _Toc59014418 \h </w:instrText>
            </w:r>
            <w:r w:rsidR="00CC6323">
              <w:rPr>
                <w:webHidden/>
              </w:rPr>
            </w:r>
            <w:r w:rsidR="00CC6323">
              <w:rPr>
                <w:webHidden/>
              </w:rPr>
              <w:fldChar w:fldCharType="separate"/>
            </w:r>
            <w:r w:rsidR="00935187">
              <w:rPr>
                <w:webHidden/>
              </w:rPr>
              <w:t>14</w:t>
            </w:r>
            <w:r w:rsidR="00CC6323">
              <w:rPr>
                <w:webHidden/>
              </w:rPr>
              <w:fldChar w:fldCharType="end"/>
            </w:r>
          </w:hyperlink>
        </w:p>
        <w:p w14:paraId="3665D254" w14:textId="53916221" w:rsidR="00CC6323" w:rsidRDefault="000F5054">
          <w:pPr>
            <w:pStyle w:val="TOC1"/>
            <w:rPr>
              <w:rFonts w:eastAsiaTheme="minorEastAsia"/>
              <w:lang w:val="en-AU" w:eastAsia="en-AU"/>
            </w:rPr>
          </w:pPr>
          <w:hyperlink w:anchor="_Toc59014419" w:history="1">
            <w:r w:rsidR="00CC6323" w:rsidRPr="006A7094">
              <w:rPr>
                <w:rStyle w:val="Hyperlink"/>
              </w:rPr>
              <w:t>Part 2 – Explanation of Provisions</w:t>
            </w:r>
            <w:r w:rsidR="00CC6323">
              <w:rPr>
                <w:webHidden/>
              </w:rPr>
              <w:tab/>
            </w:r>
            <w:r w:rsidR="00CC6323">
              <w:rPr>
                <w:webHidden/>
              </w:rPr>
              <w:fldChar w:fldCharType="begin"/>
            </w:r>
            <w:r w:rsidR="00CC6323">
              <w:rPr>
                <w:webHidden/>
              </w:rPr>
              <w:instrText xml:space="preserve"> PAGEREF _Toc59014419 \h </w:instrText>
            </w:r>
            <w:r w:rsidR="00CC6323">
              <w:rPr>
                <w:webHidden/>
              </w:rPr>
            </w:r>
            <w:r w:rsidR="00CC6323">
              <w:rPr>
                <w:webHidden/>
              </w:rPr>
              <w:fldChar w:fldCharType="separate"/>
            </w:r>
            <w:r w:rsidR="00935187">
              <w:rPr>
                <w:webHidden/>
              </w:rPr>
              <w:t>17</w:t>
            </w:r>
            <w:r w:rsidR="00CC6323">
              <w:rPr>
                <w:webHidden/>
              </w:rPr>
              <w:fldChar w:fldCharType="end"/>
            </w:r>
          </w:hyperlink>
        </w:p>
        <w:p w14:paraId="7B42BD93" w14:textId="5C60A86E" w:rsidR="00CC6323" w:rsidRDefault="000F5054">
          <w:pPr>
            <w:pStyle w:val="TOC1"/>
            <w:rPr>
              <w:rFonts w:eastAsiaTheme="minorEastAsia"/>
              <w:lang w:val="en-AU" w:eastAsia="en-AU"/>
            </w:rPr>
          </w:pPr>
          <w:hyperlink w:anchor="_Toc59014420" w:history="1">
            <w:r w:rsidR="00CC6323" w:rsidRPr="006A7094">
              <w:rPr>
                <w:rStyle w:val="Hyperlink"/>
              </w:rPr>
              <w:t>Part 3 – Justification</w:t>
            </w:r>
            <w:r w:rsidR="00CC6323">
              <w:rPr>
                <w:webHidden/>
              </w:rPr>
              <w:tab/>
            </w:r>
            <w:r w:rsidR="00CC6323">
              <w:rPr>
                <w:webHidden/>
              </w:rPr>
              <w:fldChar w:fldCharType="begin"/>
            </w:r>
            <w:r w:rsidR="00CC6323">
              <w:rPr>
                <w:webHidden/>
              </w:rPr>
              <w:instrText xml:space="preserve"> PAGEREF _Toc59014420 \h </w:instrText>
            </w:r>
            <w:r w:rsidR="00CC6323">
              <w:rPr>
                <w:webHidden/>
              </w:rPr>
            </w:r>
            <w:r w:rsidR="00CC6323">
              <w:rPr>
                <w:webHidden/>
              </w:rPr>
              <w:fldChar w:fldCharType="separate"/>
            </w:r>
            <w:r w:rsidR="00935187">
              <w:rPr>
                <w:webHidden/>
              </w:rPr>
              <w:t>21</w:t>
            </w:r>
            <w:r w:rsidR="00CC6323">
              <w:rPr>
                <w:webHidden/>
              </w:rPr>
              <w:fldChar w:fldCharType="end"/>
            </w:r>
          </w:hyperlink>
        </w:p>
        <w:p w14:paraId="4A6FA12B" w14:textId="13E83358" w:rsidR="00CC6323" w:rsidRDefault="000F5054">
          <w:pPr>
            <w:pStyle w:val="TOC2"/>
            <w:tabs>
              <w:tab w:val="right" w:leader="dot" w:pos="9350"/>
            </w:tabs>
            <w:rPr>
              <w:rFonts w:eastAsiaTheme="minorEastAsia"/>
              <w:noProof/>
              <w:lang w:val="en-AU" w:eastAsia="en-AU"/>
            </w:rPr>
          </w:pPr>
          <w:hyperlink w:anchor="_Toc59014421" w:history="1">
            <w:r w:rsidR="00CC6323" w:rsidRPr="006A7094">
              <w:rPr>
                <w:rStyle w:val="Hyperlink"/>
                <w:noProof/>
                <w:lang w:eastAsia="ja-JP"/>
              </w:rPr>
              <w:t>Section A – Need for the planning proposal</w:t>
            </w:r>
            <w:r w:rsidR="00CC6323">
              <w:rPr>
                <w:noProof/>
                <w:webHidden/>
              </w:rPr>
              <w:tab/>
            </w:r>
            <w:r w:rsidR="00CC6323">
              <w:rPr>
                <w:noProof/>
                <w:webHidden/>
              </w:rPr>
              <w:fldChar w:fldCharType="begin"/>
            </w:r>
            <w:r w:rsidR="00CC6323">
              <w:rPr>
                <w:noProof/>
                <w:webHidden/>
              </w:rPr>
              <w:instrText xml:space="preserve"> PAGEREF _Toc59014421 \h </w:instrText>
            </w:r>
            <w:r w:rsidR="00CC6323">
              <w:rPr>
                <w:noProof/>
                <w:webHidden/>
              </w:rPr>
            </w:r>
            <w:r w:rsidR="00CC6323">
              <w:rPr>
                <w:noProof/>
                <w:webHidden/>
              </w:rPr>
              <w:fldChar w:fldCharType="separate"/>
            </w:r>
            <w:r w:rsidR="00935187">
              <w:rPr>
                <w:noProof/>
                <w:webHidden/>
              </w:rPr>
              <w:t>21</w:t>
            </w:r>
            <w:r w:rsidR="00CC6323">
              <w:rPr>
                <w:noProof/>
                <w:webHidden/>
              </w:rPr>
              <w:fldChar w:fldCharType="end"/>
            </w:r>
          </w:hyperlink>
        </w:p>
        <w:p w14:paraId="3786D6B3" w14:textId="4EB8DF44" w:rsidR="00CC6323" w:rsidRDefault="000F5054">
          <w:pPr>
            <w:pStyle w:val="TOC2"/>
            <w:tabs>
              <w:tab w:val="right" w:leader="dot" w:pos="9350"/>
            </w:tabs>
            <w:rPr>
              <w:rFonts w:eastAsiaTheme="minorEastAsia"/>
              <w:noProof/>
              <w:lang w:val="en-AU" w:eastAsia="en-AU"/>
            </w:rPr>
          </w:pPr>
          <w:hyperlink w:anchor="_Toc59014422" w:history="1">
            <w:r w:rsidR="00CC6323" w:rsidRPr="006A7094">
              <w:rPr>
                <w:rStyle w:val="Hyperlink"/>
                <w:noProof/>
                <w:lang w:eastAsia="ja-JP"/>
              </w:rPr>
              <w:t>Section B – Relationship to strategic planning framework.</w:t>
            </w:r>
            <w:r w:rsidR="00CC6323">
              <w:rPr>
                <w:noProof/>
                <w:webHidden/>
              </w:rPr>
              <w:tab/>
            </w:r>
            <w:r w:rsidR="00CC6323">
              <w:rPr>
                <w:noProof/>
                <w:webHidden/>
              </w:rPr>
              <w:fldChar w:fldCharType="begin"/>
            </w:r>
            <w:r w:rsidR="00CC6323">
              <w:rPr>
                <w:noProof/>
                <w:webHidden/>
              </w:rPr>
              <w:instrText xml:space="preserve"> PAGEREF _Toc59014422 \h </w:instrText>
            </w:r>
            <w:r w:rsidR="00CC6323">
              <w:rPr>
                <w:noProof/>
                <w:webHidden/>
              </w:rPr>
            </w:r>
            <w:r w:rsidR="00CC6323">
              <w:rPr>
                <w:noProof/>
                <w:webHidden/>
              </w:rPr>
              <w:fldChar w:fldCharType="separate"/>
            </w:r>
            <w:r w:rsidR="00935187">
              <w:rPr>
                <w:noProof/>
                <w:webHidden/>
              </w:rPr>
              <w:t>23</w:t>
            </w:r>
            <w:r w:rsidR="00CC6323">
              <w:rPr>
                <w:noProof/>
                <w:webHidden/>
              </w:rPr>
              <w:fldChar w:fldCharType="end"/>
            </w:r>
          </w:hyperlink>
        </w:p>
        <w:p w14:paraId="4AE74FF7" w14:textId="3E050957" w:rsidR="00CC6323" w:rsidRDefault="000F5054">
          <w:pPr>
            <w:pStyle w:val="TOC2"/>
            <w:tabs>
              <w:tab w:val="right" w:leader="dot" w:pos="9350"/>
            </w:tabs>
            <w:rPr>
              <w:rFonts w:eastAsiaTheme="minorEastAsia"/>
              <w:noProof/>
              <w:lang w:val="en-AU" w:eastAsia="en-AU"/>
            </w:rPr>
          </w:pPr>
          <w:hyperlink w:anchor="_Toc59014423" w:history="1">
            <w:r w:rsidR="00CC6323" w:rsidRPr="006A7094">
              <w:rPr>
                <w:rStyle w:val="Hyperlink"/>
                <w:noProof/>
                <w:lang w:eastAsia="ja-JP"/>
              </w:rPr>
              <w:t>Section C – Environmental, social, and economic impact</w:t>
            </w:r>
            <w:r w:rsidR="00CC6323">
              <w:rPr>
                <w:noProof/>
                <w:webHidden/>
              </w:rPr>
              <w:tab/>
            </w:r>
            <w:r w:rsidR="00CC6323">
              <w:rPr>
                <w:noProof/>
                <w:webHidden/>
              </w:rPr>
              <w:fldChar w:fldCharType="begin"/>
            </w:r>
            <w:r w:rsidR="00CC6323">
              <w:rPr>
                <w:noProof/>
                <w:webHidden/>
              </w:rPr>
              <w:instrText xml:space="preserve"> PAGEREF _Toc59014423 \h </w:instrText>
            </w:r>
            <w:r w:rsidR="00CC6323">
              <w:rPr>
                <w:noProof/>
                <w:webHidden/>
              </w:rPr>
            </w:r>
            <w:r w:rsidR="00CC6323">
              <w:rPr>
                <w:noProof/>
                <w:webHidden/>
              </w:rPr>
              <w:fldChar w:fldCharType="separate"/>
            </w:r>
            <w:r w:rsidR="00935187">
              <w:rPr>
                <w:noProof/>
                <w:webHidden/>
              </w:rPr>
              <w:t>47</w:t>
            </w:r>
            <w:r w:rsidR="00CC6323">
              <w:rPr>
                <w:noProof/>
                <w:webHidden/>
              </w:rPr>
              <w:fldChar w:fldCharType="end"/>
            </w:r>
          </w:hyperlink>
        </w:p>
        <w:p w14:paraId="26F3A6C0" w14:textId="538483FB" w:rsidR="00CC6323" w:rsidRDefault="000F5054">
          <w:pPr>
            <w:pStyle w:val="TOC2"/>
            <w:tabs>
              <w:tab w:val="right" w:leader="dot" w:pos="9350"/>
            </w:tabs>
            <w:rPr>
              <w:rFonts w:eastAsiaTheme="minorEastAsia"/>
              <w:noProof/>
              <w:lang w:val="en-AU" w:eastAsia="en-AU"/>
            </w:rPr>
          </w:pPr>
          <w:hyperlink w:anchor="_Toc59014424" w:history="1">
            <w:r w:rsidR="00CC6323" w:rsidRPr="006A7094">
              <w:rPr>
                <w:rStyle w:val="Hyperlink"/>
                <w:noProof/>
                <w:lang w:eastAsia="ja-JP"/>
              </w:rPr>
              <w:t>Section D – State and Commonwealth interests</w:t>
            </w:r>
            <w:r w:rsidR="00CC6323">
              <w:rPr>
                <w:noProof/>
                <w:webHidden/>
              </w:rPr>
              <w:tab/>
            </w:r>
            <w:r w:rsidR="00CC6323">
              <w:rPr>
                <w:noProof/>
                <w:webHidden/>
              </w:rPr>
              <w:fldChar w:fldCharType="begin"/>
            </w:r>
            <w:r w:rsidR="00CC6323">
              <w:rPr>
                <w:noProof/>
                <w:webHidden/>
              </w:rPr>
              <w:instrText xml:space="preserve"> PAGEREF _Toc59014424 \h </w:instrText>
            </w:r>
            <w:r w:rsidR="00CC6323">
              <w:rPr>
                <w:noProof/>
                <w:webHidden/>
              </w:rPr>
            </w:r>
            <w:r w:rsidR="00CC6323">
              <w:rPr>
                <w:noProof/>
                <w:webHidden/>
              </w:rPr>
              <w:fldChar w:fldCharType="separate"/>
            </w:r>
            <w:r w:rsidR="00935187">
              <w:rPr>
                <w:noProof/>
                <w:webHidden/>
              </w:rPr>
              <w:t>66</w:t>
            </w:r>
            <w:r w:rsidR="00CC6323">
              <w:rPr>
                <w:noProof/>
                <w:webHidden/>
              </w:rPr>
              <w:fldChar w:fldCharType="end"/>
            </w:r>
          </w:hyperlink>
        </w:p>
        <w:p w14:paraId="6C50DC6E" w14:textId="2DD6BC67" w:rsidR="00CC6323" w:rsidRDefault="000F5054">
          <w:pPr>
            <w:pStyle w:val="TOC1"/>
            <w:rPr>
              <w:rFonts w:eastAsiaTheme="minorEastAsia"/>
              <w:lang w:val="en-AU" w:eastAsia="en-AU"/>
            </w:rPr>
          </w:pPr>
          <w:hyperlink w:anchor="_Toc59014425" w:history="1">
            <w:r w:rsidR="00CC6323" w:rsidRPr="006A7094">
              <w:rPr>
                <w:rStyle w:val="Hyperlink"/>
              </w:rPr>
              <w:t>Part 4 – Mapping</w:t>
            </w:r>
            <w:r w:rsidR="00CC6323">
              <w:rPr>
                <w:webHidden/>
              </w:rPr>
              <w:tab/>
            </w:r>
            <w:r w:rsidR="00CC6323">
              <w:rPr>
                <w:webHidden/>
              </w:rPr>
              <w:fldChar w:fldCharType="begin"/>
            </w:r>
            <w:r w:rsidR="00CC6323">
              <w:rPr>
                <w:webHidden/>
              </w:rPr>
              <w:instrText xml:space="preserve"> PAGEREF _Toc59014425 \h </w:instrText>
            </w:r>
            <w:r w:rsidR="00CC6323">
              <w:rPr>
                <w:webHidden/>
              </w:rPr>
            </w:r>
            <w:r w:rsidR="00CC6323">
              <w:rPr>
                <w:webHidden/>
              </w:rPr>
              <w:fldChar w:fldCharType="separate"/>
            </w:r>
            <w:r w:rsidR="00935187">
              <w:rPr>
                <w:webHidden/>
              </w:rPr>
              <w:t>69</w:t>
            </w:r>
            <w:r w:rsidR="00CC6323">
              <w:rPr>
                <w:webHidden/>
              </w:rPr>
              <w:fldChar w:fldCharType="end"/>
            </w:r>
          </w:hyperlink>
        </w:p>
        <w:p w14:paraId="240D83A1" w14:textId="297F4CB4" w:rsidR="00CC6323" w:rsidRDefault="000F5054">
          <w:pPr>
            <w:pStyle w:val="TOC1"/>
            <w:rPr>
              <w:rFonts w:eastAsiaTheme="minorEastAsia"/>
              <w:lang w:val="en-AU" w:eastAsia="en-AU"/>
            </w:rPr>
          </w:pPr>
          <w:hyperlink w:anchor="_Toc59014437" w:history="1">
            <w:r w:rsidR="00CC6323" w:rsidRPr="006A7094">
              <w:rPr>
                <w:rStyle w:val="Hyperlink"/>
              </w:rPr>
              <w:t>Part 5 – Community Consultation</w:t>
            </w:r>
            <w:r w:rsidR="00CC6323">
              <w:rPr>
                <w:webHidden/>
              </w:rPr>
              <w:tab/>
            </w:r>
            <w:r w:rsidR="00CC6323">
              <w:rPr>
                <w:webHidden/>
              </w:rPr>
              <w:fldChar w:fldCharType="begin"/>
            </w:r>
            <w:r w:rsidR="00CC6323">
              <w:rPr>
                <w:webHidden/>
              </w:rPr>
              <w:instrText xml:space="preserve"> PAGEREF _Toc59014437 \h </w:instrText>
            </w:r>
            <w:r w:rsidR="00CC6323">
              <w:rPr>
                <w:webHidden/>
              </w:rPr>
            </w:r>
            <w:r w:rsidR="00CC6323">
              <w:rPr>
                <w:webHidden/>
              </w:rPr>
              <w:fldChar w:fldCharType="separate"/>
            </w:r>
            <w:r w:rsidR="00935187">
              <w:rPr>
                <w:webHidden/>
              </w:rPr>
              <w:t>72</w:t>
            </w:r>
            <w:r w:rsidR="00CC6323">
              <w:rPr>
                <w:webHidden/>
              </w:rPr>
              <w:fldChar w:fldCharType="end"/>
            </w:r>
          </w:hyperlink>
        </w:p>
        <w:p w14:paraId="357F8C02" w14:textId="69CEE0FF" w:rsidR="00CC6323" w:rsidRDefault="000F5054">
          <w:pPr>
            <w:pStyle w:val="TOC1"/>
            <w:rPr>
              <w:rFonts w:eastAsiaTheme="minorEastAsia"/>
              <w:lang w:val="en-AU" w:eastAsia="en-AU"/>
            </w:rPr>
          </w:pPr>
          <w:hyperlink w:anchor="_Toc59014438" w:history="1">
            <w:r w:rsidR="00CC6323" w:rsidRPr="006A7094">
              <w:rPr>
                <w:rStyle w:val="Hyperlink"/>
              </w:rPr>
              <w:t>Part 6 – Project Timeline</w:t>
            </w:r>
            <w:r w:rsidR="00CC6323">
              <w:rPr>
                <w:webHidden/>
              </w:rPr>
              <w:tab/>
            </w:r>
            <w:r w:rsidR="00CC6323">
              <w:rPr>
                <w:webHidden/>
              </w:rPr>
              <w:fldChar w:fldCharType="begin"/>
            </w:r>
            <w:r w:rsidR="00CC6323">
              <w:rPr>
                <w:webHidden/>
              </w:rPr>
              <w:instrText xml:space="preserve"> PAGEREF _Toc59014438 \h </w:instrText>
            </w:r>
            <w:r w:rsidR="00CC6323">
              <w:rPr>
                <w:webHidden/>
              </w:rPr>
            </w:r>
            <w:r w:rsidR="00CC6323">
              <w:rPr>
                <w:webHidden/>
              </w:rPr>
              <w:fldChar w:fldCharType="separate"/>
            </w:r>
            <w:r w:rsidR="00935187">
              <w:rPr>
                <w:webHidden/>
              </w:rPr>
              <w:t>72</w:t>
            </w:r>
            <w:r w:rsidR="00CC6323">
              <w:rPr>
                <w:webHidden/>
              </w:rPr>
              <w:fldChar w:fldCharType="end"/>
            </w:r>
          </w:hyperlink>
        </w:p>
        <w:p w14:paraId="0FE4BC63" w14:textId="533B20AE" w:rsidR="000033D4" w:rsidRPr="000033D4" w:rsidRDefault="000F5054" w:rsidP="000033D4">
          <w:pPr>
            <w:pStyle w:val="TOC1"/>
            <w:rPr>
              <w:rFonts w:ascii="Arial" w:hAnsi="Arial" w:cs="Arial"/>
            </w:rPr>
          </w:pPr>
          <w:hyperlink w:anchor="_Toc59014439" w:history="1">
            <w:r w:rsidR="00CC6323" w:rsidRPr="006A7094">
              <w:rPr>
                <w:rStyle w:val="Hyperlink"/>
              </w:rPr>
              <w:t>Conclusion and Recommendations</w:t>
            </w:r>
            <w:r w:rsidR="00CC6323">
              <w:rPr>
                <w:webHidden/>
              </w:rPr>
              <w:tab/>
            </w:r>
            <w:r w:rsidR="00CC6323">
              <w:rPr>
                <w:webHidden/>
              </w:rPr>
              <w:fldChar w:fldCharType="begin"/>
            </w:r>
            <w:r w:rsidR="00CC6323">
              <w:rPr>
                <w:webHidden/>
              </w:rPr>
              <w:instrText xml:space="preserve"> PAGEREF _Toc59014439 \h </w:instrText>
            </w:r>
            <w:r w:rsidR="00CC6323">
              <w:rPr>
                <w:webHidden/>
              </w:rPr>
            </w:r>
            <w:r w:rsidR="00CC6323">
              <w:rPr>
                <w:webHidden/>
              </w:rPr>
              <w:fldChar w:fldCharType="separate"/>
            </w:r>
            <w:r w:rsidR="00935187">
              <w:rPr>
                <w:webHidden/>
              </w:rPr>
              <w:t>73</w:t>
            </w:r>
            <w:r w:rsidR="00CC6323">
              <w:rPr>
                <w:webHidden/>
              </w:rPr>
              <w:fldChar w:fldCharType="end"/>
            </w:r>
          </w:hyperlink>
          <w:r w:rsidR="00830291" w:rsidRPr="0010675F">
            <w:rPr>
              <w:rFonts w:ascii="Arial" w:hAnsi="Arial" w:cs="Arial"/>
              <w:sz w:val="16"/>
              <w:szCs w:val="20"/>
            </w:rPr>
            <w:fldChar w:fldCharType="end"/>
          </w:r>
        </w:p>
      </w:sdtContent>
    </w:sdt>
    <w:p w14:paraId="410EDBC0" w14:textId="77777777" w:rsidR="0045382F" w:rsidRDefault="00ED3311" w:rsidP="00101BA4">
      <w:pPr>
        <w:pStyle w:val="TOCHeading"/>
        <w:spacing w:line="360" w:lineRule="auto"/>
        <w:rPr>
          <w:rFonts w:cs="Arial"/>
          <w:lang w:eastAsia="ja-JP"/>
        </w:rPr>
      </w:pPr>
      <w:r>
        <w:rPr>
          <w:rFonts w:cs="Arial"/>
          <w:lang w:eastAsia="ja-JP"/>
        </w:rPr>
        <w:br/>
      </w:r>
    </w:p>
    <w:p w14:paraId="18B96295" w14:textId="77777777" w:rsidR="0045382F" w:rsidRDefault="0045382F">
      <w:pPr>
        <w:rPr>
          <w:rFonts w:ascii="Arial" w:eastAsiaTheme="majorEastAsia" w:hAnsi="Arial" w:cs="Arial"/>
          <w:b/>
          <w:color w:val="5C348B" w:themeColor="text1"/>
          <w:sz w:val="28"/>
          <w:szCs w:val="32"/>
          <w:lang w:eastAsia="ja-JP"/>
        </w:rPr>
      </w:pPr>
      <w:r>
        <w:rPr>
          <w:rFonts w:cs="Arial"/>
          <w:lang w:eastAsia="ja-JP"/>
        </w:rPr>
        <w:br w:type="page"/>
      </w:r>
    </w:p>
    <w:p w14:paraId="3C27D0DB" w14:textId="72113208" w:rsidR="00830291" w:rsidRPr="0010675F" w:rsidRDefault="00830291" w:rsidP="00101BA4">
      <w:pPr>
        <w:pStyle w:val="TOCHeading"/>
        <w:spacing w:line="360" w:lineRule="auto"/>
        <w:rPr>
          <w:rFonts w:cs="Arial"/>
          <w:lang w:eastAsia="ja-JP"/>
        </w:rPr>
      </w:pPr>
      <w:r w:rsidRPr="0010675F">
        <w:rPr>
          <w:rFonts w:cs="Arial"/>
          <w:lang w:eastAsia="ja-JP"/>
        </w:rPr>
        <w:lastRenderedPageBreak/>
        <w:t>List of tables</w:t>
      </w:r>
    </w:p>
    <w:p w14:paraId="6461BB08" w14:textId="6E6D5199" w:rsidR="00A24F66" w:rsidRDefault="00B43C7C" w:rsidP="00B43C7C">
      <w:r>
        <w:rPr>
          <w:lang w:eastAsia="ja-JP"/>
        </w:rPr>
        <w:t xml:space="preserve">Table </w:t>
      </w:r>
      <w:r w:rsidRPr="00394657">
        <w:t>1: Liverpool</w:t>
      </w:r>
      <w:r>
        <w:t xml:space="preserve"> Local Environmental Plan 2008.…………………………………………………………………</w:t>
      </w:r>
      <w:r w:rsidR="00DC4ADE">
        <w:t>.</w:t>
      </w:r>
      <w:r>
        <w:t>………….</w:t>
      </w:r>
      <w:r w:rsidR="00DD2847">
        <w:t>.</w:t>
      </w:r>
      <w:r>
        <w:t>.…8</w:t>
      </w:r>
      <w:r>
        <w:br/>
        <w:t xml:space="preserve">Table 2: </w:t>
      </w:r>
      <w:r w:rsidR="008D4117">
        <w:t>Strategic Plan Merit Test – Greater Sydney Region Plan</w:t>
      </w:r>
      <w:r>
        <w:t>…………</w:t>
      </w:r>
      <w:r w:rsidR="008D4117">
        <w:t>……….………</w:t>
      </w:r>
      <w:r>
        <w:t>…………………</w:t>
      </w:r>
      <w:r w:rsidR="00DC4ADE">
        <w:t>.</w:t>
      </w:r>
      <w:r>
        <w:t>……………</w:t>
      </w:r>
      <w:r w:rsidR="006E22D1">
        <w:t>24</w:t>
      </w:r>
      <w:r>
        <w:br/>
        <w:t xml:space="preserve">Table 3: </w:t>
      </w:r>
      <w:r w:rsidR="00736591">
        <w:t xml:space="preserve">Strategic Plan Merit Test – Western City District Plan </w:t>
      </w:r>
      <w:r>
        <w:t>…</w:t>
      </w:r>
      <w:r w:rsidR="00736591">
        <w:t>………………….</w:t>
      </w:r>
      <w:r>
        <w:t>……………………………</w:t>
      </w:r>
      <w:r w:rsidR="00DC4ADE">
        <w:t>.</w:t>
      </w:r>
      <w:r>
        <w:t>…………</w:t>
      </w:r>
      <w:r w:rsidR="00736591">
        <w:t>29</w:t>
      </w:r>
      <w:r>
        <w:br/>
        <w:t xml:space="preserve">Table 4: </w:t>
      </w:r>
      <w:r w:rsidR="00874236">
        <w:t>Consistency with State Environmental Planning Policies</w:t>
      </w:r>
      <w:r>
        <w:t>…</w:t>
      </w:r>
      <w:r w:rsidR="00874236">
        <w:t>.</w:t>
      </w:r>
      <w:r>
        <w:t>……………………………………………</w:t>
      </w:r>
      <w:r w:rsidR="00DC4ADE">
        <w:t>.</w:t>
      </w:r>
      <w:r>
        <w:t>………..</w:t>
      </w:r>
      <w:r w:rsidR="00874236">
        <w:t>39</w:t>
      </w:r>
      <w:r>
        <w:br/>
        <w:t xml:space="preserve">Table </w:t>
      </w:r>
      <w:r w:rsidR="00111EC5">
        <w:t>5</w:t>
      </w:r>
      <w:r>
        <w:t xml:space="preserve">: </w:t>
      </w:r>
      <w:r w:rsidR="001B7E6E">
        <w:t>Ministerial Directions Compliance……</w:t>
      </w:r>
      <w:r w:rsidRPr="00B43C7C">
        <w:t>…………………………………………………………………………………</w:t>
      </w:r>
      <w:r w:rsidR="00DC4ADE">
        <w:t>.</w:t>
      </w:r>
      <w:r w:rsidRPr="00B43C7C">
        <w:t>…..</w:t>
      </w:r>
      <w:r w:rsidR="001B7E6E">
        <w:t>4</w:t>
      </w:r>
      <w:r w:rsidRPr="00B43C7C">
        <w:t>3</w:t>
      </w:r>
      <w:r w:rsidR="0053756B">
        <w:br/>
        <w:t xml:space="preserve">Table </w:t>
      </w:r>
      <w:r w:rsidR="00111EC5">
        <w:t>6</w:t>
      </w:r>
      <w:r w:rsidR="0053756B">
        <w:t xml:space="preserve">: </w:t>
      </w:r>
      <w:r w:rsidR="008839FB">
        <w:t>Economic Benefits</w:t>
      </w:r>
      <w:r w:rsidR="006B2A56">
        <w:t xml:space="preserve">: </w:t>
      </w:r>
      <w:r w:rsidR="008839FB" w:rsidRPr="00E41B78">
        <w:rPr>
          <w:rFonts w:ascii="Arial" w:hAnsi="Arial"/>
          <w:sz w:val="18"/>
          <w:szCs w:val="18"/>
        </w:rPr>
        <w:t>Base</w:t>
      </w:r>
      <w:r w:rsidR="008839FB" w:rsidRPr="000B4D80">
        <w:rPr>
          <w:rFonts w:ascii="Arial" w:hAnsi="Arial" w:cs="Arial"/>
          <w:sz w:val="20"/>
        </w:rPr>
        <w:t xml:space="preserve"> Case Versus Planning Propo</w:t>
      </w:r>
      <w:r w:rsidR="006B2A56">
        <w:rPr>
          <w:rFonts w:ascii="Arial" w:hAnsi="Arial" w:cs="Arial"/>
          <w:sz w:val="20"/>
        </w:rPr>
        <w:t>sal</w:t>
      </w:r>
      <w:r w:rsidR="0053756B" w:rsidRPr="00B43C7C">
        <w:t>…………………………………………</w:t>
      </w:r>
      <w:r w:rsidR="006B2A56">
        <w:t>…..</w:t>
      </w:r>
      <w:r w:rsidR="0053756B" w:rsidRPr="00B43C7C">
        <w:t>……</w:t>
      </w:r>
      <w:r w:rsidR="00DC4ADE">
        <w:t>.</w:t>
      </w:r>
      <w:r w:rsidR="0053756B" w:rsidRPr="00B43C7C">
        <w:t>…..</w:t>
      </w:r>
      <w:r w:rsidR="006B2A56">
        <w:t>65</w:t>
      </w:r>
      <w:r w:rsidR="0045382F">
        <w:br/>
      </w:r>
      <w:r w:rsidR="00ED3311">
        <w:t xml:space="preserve">Table </w:t>
      </w:r>
      <w:r w:rsidR="00111EC5">
        <w:t>7</w:t>
      </w:r>
      <w:r w:rsidR="00ED3311">
        <w:t xml:space="preserve">: </w:t>
      </w:r>
      <w:r w:rsidR="00B81266">
        <w:t>Existing vs. Proposed Controls………………………………………..</w:t>
      </w:r>
      <w:r w:rsidR="00ED3311" w:rsidRPr="00B43C7C">
        <w:t>…………………………………………</w:t>
      </w:r>
      <w:r w:rsidR="00ED3311">
        <w:t>…</w:t>
      </w:r>
      <w:r w:rsidR="00A24F66">
        <w:t>.</w:t>
      </w:r>
      <w:r w:rsidR="00ED3311">
        <w:t>..</w:t>
      </w:r>
      <w:r w:rsidR="00ED3311" w:rsidRPr="00B43C7C">
        <w:t>………..</w:t>
      </w:r>
      <w:r w:rsidR="00ED3311">
        <w:t>6</w:t>
      </w:r>
      <w:r w:rsidR="00B81266">
        <w:t>9</w:t>
      </w:r>
      <w:r w:rsidR="00A24F66">
        <w:br/>
        <w:t xml:space="preserve">Table </w:t>
      </w:r>
      <w:r w:rsidR="00111EC5">
        <w:t>8</w:t>
      </w:r>
      <w:r w:rsidR="00A24F66">
        <w:t>: Indicative Project Timeline…………………………………..</w:t>
      </w:r>
      <w:r w:rsidR="00A24F66" w:rsidRPr="00B43C7C">
        <w:t>…………………………………………</w:t>
      </w:r>
      <w:r w:rsidR="00A24F66">
        <w:t>………………………..7</w:t>
      </w:r>
      <w:r w:rsidR="00935187">
        <w:t>2</w:t>
      </w:r>
    </w:p>
    <w:p w14:paraId="482F74C4" w14:textId="77777777" w:rsidR="00ED3311" w:rsidRPr="0053756B" w:rsidRDefault="00ED3311" w:rsidP="00B43C7C"/>
    <w:p w14:paraId="1B34E961" w14:textId="19741F8A" w:rsidR="006F5101" w:rsidRDefault="004664A3" w:rsidP="00DD13AC">
      <w:pPr>
        <w:pStyle w:val="TOCHeading"/>
        <w:spacing w:line="360" w:lineRule="auto"/>
        <w:rPr>
          <w:rFonts w:cs="Arial"/>
          <w:lang w:eastAsia="ja-JP"/>
        </w:rPr>
      </w:pPr>
      <w:r w:rsidRPr="0010675F">
        <w:rPr>
          <w:rFonts w:cs="Arial"/>
          <w:lang w:eastAsia="ja-JP"/>
        </w:rPr>
        <w:t>List of figures</w:t>
      </w:r>
    </w:p>
    <w:p w14:paraId="4142EAB8" w14:textId="3F3D7DB1" w:rsidR="00E645EF" w:rsidRDefault="00394657" w:rsidP="00F457D0">
      <w:pPr>
        <w:rPr>
          <w:rStyle w:val="Hyperlink"/>
          <w:noProof/>
          <w:u w:val="none"/>
        </w:rPr>
      </w:pPr>
      <w:r w:rsidRPr="00394657">
        <w:rPr>
          <w:lang w:eastAsia="ja-JP"/>
        </w:rPr>
        <w:t>Figure 1:</w:t>
      </w:r>
      <w:r w:rsidRPr="00394657">
        <w:t xml:space="preserve"> </w:t>
      </w:r>
      <w:r w:rsidR="006438C2" w:rsidRPr="006438C2">
        <w:t>Aerial view of the Georges River North precinc</w:t>
      </w:r>
      <w:r w:rsidR="006438C2">
        <w:t>t…..</w:t>
      </w:r>
      <w:r>
        <w:t>………………………………………………………………..…</w:t>
      </w:r>
      <w:r w:rsidR="006438C2">
        <w:t>7</w:t>
      </w:r>
      <w:r>
        <w:br/>
      </w:r>
      <w:r w:rsidR="0012145E" w:rsidRPr="0012145E">
        <w:t>Figure 2: Current zoning of area and surrounds</w:t>
      </w:r>
      <w:r w:rsidR="0012145E">
        <w:t>..…………………………………………………………………………………….8</w:t>
      </w:r>
      <w:r w:rsidR="0012145E">
        <w:br/>
      </w:r>
      <w:r>
        <w:t xml:space="preserve">Figure </w:t>
      </w:r>
      <w:r w:rsidR="0012145E">
        <w:t>3</w:t>
      </w:r>
      <w:r>
        <w:t xml:space="preserve">: </w:t>
      </w:r>
      <w:r w:rsidR="0036294F">
        <w:t>Liverpool Collaboration Area….</w:t>
      </w:r>
      <w:r w:rsidR="00FF0D19">
        <w:t>…………………………………………………………………………………………………9</w:t>
      </w:r>
      <w:r w:rsidR="00FF0D19">
        <w:br/>
      </w:r>
      <w:r w:rsidR="002315F8">
        <w:t xml:space="preserve">Figure </w:t>
      </w:r>
      <w:r w:rsidR="00B90467">
        <w:t>4</w:t>
      </w:r>
      <w:r w:rsidR="0036294F">
        <w:t>: Subject Site……………………………………………………..</w:t>
      </w:r>
      <w:r w:rsidR="002315F8">
        <w:t>………………………………………………………………………10</w:t>
      </w:r>
      <w:r w:rsidR="002315F8">
        <w:br/>
        <w:t xml:space="preserve">Figure </w:t>
      </w:r>
      <w:r w:rsidR="00B90467">
        <w:t>5</w:t>
      </w:r>
      <w:r w:rsidR="002315F8">
        <w:t xml:space="preserve">: </w:t>
      </w:r>
      <w:r w:rsidR="0036294F">
        <w:t>Liverpool Place Strategy</w:t>
      </w:r>
      <w:r w:rsidR="005D215E">
        <w:t>…..</w:t>
      </w:r>
      <w:r w:rsidR="002315F8">
        <w:t>……………………………………………………………………………………………………..11</w:t>
      </w:r>
      <w:r w:rsidR="002315F8">
        <w:br/>
        <w:t xml:space="preserve">Figure </w:t>
      </w:r>
      <w:r w:rsidR="00B90467">
        <w:t>6</w:t>
      </w:r>
      <w:r w:rsidR="002315F8">
        <w:t xml:space="preserve">: </w:t>
      </w:r>
      <w:r w:rsidR="00A52599">
        <w:t>Moore Point</w:t>
      </w:r>
      <w:r w:rsidR="00072362">
        <w:t xml:space="preserve"> </w:t>
      </w:r>
      <w:r w:rsidR="003208C3">
        <w:t>Master</w:t>
      </w:r>
      <w:r w:rsidR="00072362">
        <w:t>plan……</w:t>
      </w:r>
      <w:r w:rsidR="00A52599">
        <w:t>………….</w:t>
      </w:r>
      <w:r w:rsidR="00072362">
        <w:t>……</w:t>
      </w:r>
      <w:r w:rsidR="003208C3">
        <w:t>….</w:t>
      </w:r>
      <w:r w:rsidR="00072362">
        <w:t>………………….</w:t>
      </w:r>
      <w:r w:rsidR="00F457D0">
        <w:t>……………………………………………………………1</w:t>
      </w:r>
      <w:r w:rsidR="00072362">
        <w:t>5</w:t>
      </w:r>
      <w:r w:rsidR="00F457D0">
        <w:br/>
        <w:t xml:space="preserve">Figure </w:t>
      </w:r>
      <w:r w:rsidR="00B90467">
        <w:t>7</w:t>
      </w:r>
      <w:r w:rsidR="00F457D0">
        <w:t xml:space="preserve">: </w:t>
      </w:r>
      <w:r w:rsidR="00A52599">
        <w:t xml:space="preserve">Moore Point </w:t>
      </w:r>
      <w:r w:rsidR="003208C3">
        <w:t>Masterplan</w:t>
      </w:r>
      <w:r w:rsidR="00E61FEB">
        <w:rPr>
          <w:rStyle w:val="Hyperlink"/>
          <w:color w:val="auto"/>
          <w:u w:val="none"/>
        </w:rPr>
        <w:t xml:space="preserve"> update…</w:t>
      </w:r>
      <w:r w:rsidR="003208C3">
        <w:rPr>
          <w:rStyle w:val="Hyperlink"/>
          <w:color w:val="auto"/>
          <w:u w:val="none"/>
        </w:rPr>
        <w:t>…</w:t>
      </w:r>
      <w:r w:rsidR="00A52599">
        <w:rPr>
          <w:rStyle w:val="Hyperlink"/>
          <w:color w:val="auto"/>
          <w:u w:val="none"/>
        </w:rPr>
        <w:t>………….</w:t>
      </w:r>
      <w:r w:rsidR="003208C3">
        <w:rPr>
          <w:rStyle w:val="Hyperlink"/>
          <w:color w:val="auto"/>
          <w:u w:val="none"/>
        </w:rPr>
        <w:t>..</w:t>
      </w:r>
      <w:r w:rsidR="00F457D0">
        <w:rPr>
          <w:rStyle w:val="Hyperlink"/>
          <w:color w:val="auto"/>
          <w:u w:val="none"/>
        </w:rPr>
        <w:t>………………</w:t>
      </w:r>
      <w:r w:rsidR="003208C3">
        <w:rPr>
          <w:rStyle w:val="Hyperlink"/>
          <w:color w:val="auto"/>
          <w:u w:val="none"/>
        </w:rPr>
        <w:t>..</w:t>
      </w:r>
      <w:r w:rsidR="00F457D0">
        <w:rPr>
          <w:rStyle w:val="Hyperlink"/>
          <w:color w:val="auto"/>
          <w:u w:val="none"/>
        </w:rPr>
        <w:t>………………………………………………………..</w:t>
      </w:r>
      <w:r w:rsidR="00072362">
        <w:rPr>
          <w:rStyle w:val="Hyperlink"/>
          <w:color w:val="auto"/>
          <w:u w:val="none"/>
        </w:rPr>
        <w:t>16</w:t>
      </w:r>
      <w:r w:rsidR="00F457D0">
        <w:rPr>
          <w:rStyle w:val="Hyperlink"/>
          <w:color w:val="auto"/>
          <w:u w:val="none"/>
        </w:rPr>
        <w:br/>
        <w:t xml:space="preserve">Figure </w:t>
      </w:r>
      <w:r w:rsidR="00B90467">
        <w:rPr>
          <w:rStyle w:val="Hyperlink"/>
          <w:color w:val="auto"/>
          <w:u w:val="none"/>
        </w:rPr>
        <w:t>8</w:t>
      </w:r>
      <w:r w:rsidR="00F457D0">
        <w:rPr>
          <w:rStyle w:val="Hyperlink"/>
          <w:color w:val="auto"/>
          <w:u w:val="none"/>
        </w:rPr>
        <w:t xml:space="preserve">: </w:t>
      </w:r>
      <w:r w:rsidR="00715D9E">
        <w:rPr>
          <w:rStyle w:val="Hyperlink"/>
          <w:color w:val="auto"/>
          <w:u w:val="none"/>
        </w:rPr>
        <w:t>Moore Point Masterplan……….</w:t>
      </w:r>
      <w:r w:rsidR="00F457D0">
        <w:rPr>
          <w:rStyle w:val="Hyperlink"/>
          <w:color w:val="auto"/>
          <w:u w:val="none"/>
        </w:rPr>
        <w:t>………………………………………………………………………………………………..</w:t>
      </w:r>
      <w:r w:rsidR="00A9195F">
        <w:rPr>
          <w:rStyle w:val="Hyperlink"/>
          <w:color w:val="auto"/>
          <w:u w:val="none"/>
        </w:rPr>
        <w:t>48</w:t>
      </w:r>
      <w:r w:rsidR="00117EDE">
        <w:rPr>
          <w:rStyle w:val="Hyperlink"/>
          <w:color w:val="auto"/>
          <w:u w:val="none"/>
        </w:rPr>
        <w:br/>
      </w:r>
      <w:r w:rsidR="00117EDE" w:rsidRPr="00117EDE">
        <w:rPr>
          <w:rStyle w:val="Hyperlink"/>
          <w:noProof/>
          <w:u w:val="none"/>
        </w:rPr>
        <w:t xml:space="preserve">Figure </w:t>
      </w:r>
      <w:r w:rsidR="00B90467">
        <w:rPr>
          <w:rStyle w:val="Hyperlink"/>
          <w:noProof/>
          <w:u w:val="none"/>
        </w:rPr>
        <w:t>9</w:t>
      </w:r>
      <w:r w:rsidR="00117EDE">
        <w:rPr>
          <w:rStyle w:val="Hyperlink"/>
          <w:noProof/>
          <w:u w:val="none"/>
        </w:rPr>
        <w:t>:</w:t>
      </w:r>
      <w:r w:rsidR="00117EDE" w:rsidRPr="00117EDE">
        <w:rPr>
          <w:rStyle w:val="Hyperlink"/>
          <w:noProof/>
          <w:u w:val="none"/>
        </w:rPr>
        <w:t xml:space="preserve"> </w:t>
      </w:r>
      <w:r w:rsidR="00184EAC">
        <w:rPr>
          <w:rStyle w:val="Hyperlink"/>
          <w:noProof/>
          <w:u w:val="none"/>
        </w:rPr>
        <w:t>Staging Plan…..</w:t>
      </w:r>
      <w:r w:rsidR="00117EDE">
        <w:rPr>
          <w:rStyle w:val="Hyperlink"/>
          <w:noProof/>
          <w:u w:val="none"/>
        </w:rPr>
        <w:t>……………………………………………………………………………………………………………………….</w:t>
      </w:r>
      <w:r w:rsidR="00184EAC">
        <w:rPr>
          <w:rStyle w:val="Hyperlink"/>
          <w:noProof/>
          <w:u w:val="none"/>
        </w:rPr>
        <w:t>.50</w:t>
      </w:r>
      <w:r w:rsidR="00117EDE">
        <w:rPr>
          <w:rStyle w:val="Hyperlink"/>
          <w:noProof/>
          <w:u w:val="none"/>
        </w:rPr>
        <w:br/>
      </w:r>
      <w:r w:rsidR="00117EDE" w:rsidRPr="00117EDE">
        <w:rPr>
          <w:rStyle w:val="Hyperlink"/>
          <w:noProof/>
          <w:u w:val="none"/>
        </w:rPr>
        <w:t xml:space="preserve">Figure </w:t>
      </w:r>
      <w:r w:rsidR="00B90467">
        <w:rPr>
          <w:rStyle w:val="Hyperlink"/>
          <w:noProof/>
          <w:u w:val="none"/>
        </w:rPr>
        <w:t>10</w:t>
      </w:r>
      <w:r w:rsidR="00117EDE">
        <w:rPr>
          <w:rStyle w:val="Hyperlink"/>
          <w:noProof/>
          <w:u w:val="none"/>
        </w:rPr>
        <w:t>:</w:t>
      </w:r>
      <w:r w:rsidR="00117EDE" w:rsidRPr="00117EDE">
        <w:rPr>
          <w:rStyle w:val="Hyperlink"/>
          <w:noProof/>
          <w:u w:val="none"/>
        </w:rPr>
        <w:t xml:space="preserve"> </w:t>
      </w:r>
      <w:r w:rsidR="00117EDE">
        <w:rPr>
          <w:rStyle w:val="Hyperlink"/>
          <w:noProof/>
          <w:u w:val="none"/>
        </w:rPr>
        <w:t>Proposed</w:t>
      </w:r>
      <w:r w:rsidR="00117EDE" w:rsidRPr="00117EDE">
        <w:rPr>
          <w:rStyle w:val="Hyperlink"/>
          <w:noProof/>
          <w:u w:val="none"/>
        </w:rPr>
        <w:t xml:space="preserve"> </w:t>
      </w:r>
      <w:r w:rsidR="00E6538D">
        <w:rPr>
          <w:rStyle w:val="Hyperlink"/>
          <w:noProof/>
          <w:u w:val="none"/>
        </w:rPr>
        <w:t>Stage 1 Transport Impact Assessment Approach</w:t>
      </w:r>
      <w:r w:rsidR="00117EDE">
        <w:rPr>
          <w:rStyle w:val="Hyperlink"/>
          <w:noProof/>
          <w:u w:val="none"/>
        </w:rPr>
        <w:t>…………</w:t>
      </w:r>
      <w:r w:rsidR="00E6538D">
        <w:rPr>
          <w:rStyle w:val="Hyperlink"/>
          <w:noProof/>
          <w:u w:val="none"/>
        </w:rPr>
        <w:t>…..</w:t>
      </w:r>
      <w:r w:rsidR="00117EDE">
        <w:rPr>
          <w:rStyle w:val="Hyperlink"/>
          <w:noProof/>
          <w:u w:val="none"/>
        </w:rPr>
        <w:t>…………………………………...</w:t>
      </w:r>
      <w:r w:rsidR="0083732E">
        <w:rPr>
          <w:rStyle w:val="Hyperlink"/>
          <w:noProof/>
          <w:u w:val="none"/>
        </w:rPr>
        <w:t>51</w:t>
      </w:r>
      <w:r w:rsidR="00117EDE">
        <w:rPr>
          <w:rStyle w:val="Hyperlink"/>
          <w:noProof/>
          <w:u w:val="none"/>
        </w:rPr>
        <w:br/>
      </w:r>
      <w:r w:rsidR="00117EDE" w:rsidRPr="00117EDE">
        <w:rPr>
          <w:rStyle w:val="Hyperlink"/>
          <w:noProof/>
          <w:u w:val="none"/>
        </w:rPr>
        <w:t>Figure 1</w:t>
      </w:r>
      <w:r w:rsidR="0053483A">
        <w:rPr>
          <w:rStyle w:val="Hyperlink"/>
          <w:noProof/>
          <w:u w:val="none"/>
        </w:rPr>
        <w:t>1</w:t>
      </w:r>
      <w:r w:rsidR="00117EDE">
        <w:rPr>
          <w:rStyle w:val="Hyperlink"/>
          <w:noProof/>
          <w:u w:val="none"/>
        </w:rPr>
        <w:t>:</w:t>
      </w:r>
      <w:r w:rsidR="00117EDE" w:rsidRPr="00117EDE">
        <w:rPr>
          <w:rStyle w:val="Hyperlink"/>
          <w:noProof/>
          <w:u w:val="none"/>
        </w:rPr>
        <w:t xml:space="preserve"> </w:t>
      </w:r>
      <w:r w:rsidR="0053483A" w:rsidRPr="0053483A">
        <w:rPr>
          <w:rStyle w:val="Hyperlink"/>
          <w:noProof/>
          <w:u w:val="none"/>
        </w:rPr>
        <w:t>Envelopes which would infringe OLS Conical Surfac</w:t>
      </w:r>
      <w:r w:rsidR="0053483A">
        <w:rPr>
          <w:rStyle w:val="Hyperlink"/>
          <w:noProof/>
          <w:u w:val="none"/>
        </w:rPr>
        <w:t>e…………….</w:t>
      </w:r>
      <w:r w:rsidR="00117EDE">
        <w:rPr>
          <w:rStyle w:val="Hyperlink"/>
          <w:noProof/>
          <w:u w:val="none"/>
        </w:rPr>
        <w:t>……………………………………………..</w:t>
      </w:r>
      <w:r w:rsidR="0083732E">
        <w:rPr>
          <w:rStyle w:val="Hyperlink"/>
          <w:noProof/>
          <w:u w:val="none"/>
        </w:rPr>
        <w:t>52</w:t>
      </w:r>
      <w:r w:rsidR="00117EDE">
        <w:rPr>
          <w:rStyle w:val="Hyperlink"/>
          <w:noProof/>
          <w:u w:val="none"/>
        </w:rPr>
        <w:br/>
      </w:r>
      <w:r w:rsidR="00117EDE" w:rsidRPr="00117EDE">
        <w:rPr>
          <w:rStyle w:val="Hyperlink"/>
          <w:noProof/>
          <w:u w:val="none"/>
        </w:rPr>
        <w:t>Figure 1</w:t>
      </w:r>
      <w:r w:rsidR="0036032A">
        <w:rPr>
          <w:rStyle w:val="Hyperlink"/>
          <w:noProof/>
          <w:u w:val="none"/>
        </w:rPr>
        <w:t>2</w:t>
      </w:r>
      <w:r w:rsidR="00117EDE">
        <w:rPr>
          <w:rStyle w:val="Hyperlink"/>
          <w:noProof/>
          <w:u w:val="none"/>
        </w:rPr>
        <w:t>:</w:t>
      </w:r>
      <w:r w:rsidR="00117EDE" w:rsidRPr="00117EDE">
        <w:rPr>
          <w:rStyle w:val="Hyperlink"/>
          <w:noProof/>
          <w:u w:val="none"/>
        </w:rPr>
        <w:t xml:space="preserve"> </w:t>
      </w:r>
      <w:r w:rsidR="0036032A" w:rsidRPr="00A257C7">
        <w:t>PANS-OPS Category B and C Constraining Surface</w:t>
      </w:r>
      <w:r w:rsidR="0036032A">
        <w:t>….</w:t>
      </w:r>
      <w:r w:rsidR="00117EDE">
        <w:rPr>
          <w:rStyle w:val="Hyperlink"/>
          <w:noProof/>
          <w:u w:val="none"/>
        </w:rPr>
        <w:t>……………………………………………………</w:t>
      </w:r>
      <w:r w:rsidR="0036032A">
        <w:rPr>
          <w:rStyle w:val="Hyperlink"/>
          <w:noProof/>
          <w:u w:val="none"/>
        </w:rPr>
        <w:t>..</w:t>
      </w:r>
      <w:r w:rsidR="00117EDE">
        <w:rPr>
          <w:rStyle w:val="Hyperlink"/>
          <w:noProof/>
          <w:u w:val="none"/>
        </w:rPr>
        <w:t>……..</w:t>
      </w:r>
      <w:r w:rsidR="00EF7C8A">
        <w:rPr>
          <w:rStyle w:val="Hyperlink"/>
          <w:noProof/>
          <w:u w:val="none"/>
        </w:rPr>
        <w:t>53</w:t>
      </w:r>
      <w:r w:rsidR="00117EDE">
        <w:rPr>
          <w:rStyle w:val="Hyperlink"/>
          <w:noProof/>
          <w:u w:val="none"/>
        </w:rPr>
        <w:br/>
      </w:r>
      <w:r w:rsidR="00117EDE" w:rsidRPr="00117EDE">
        <w:rPr>
          <w:rStyle w:val="Hyperlink"/>
          <w:noProof/>
          <w:u w:val="none"/>
        </w:rPr>
        <w:t>Figure 1</w:t>
      </w:r>
      <w:r w:rsidR="00EF7C8A">
        <w:rPr>
          <w:rStyle w:val="Hyperlink"/>
          <w:noProof/>
          <w:u w:val="none"/>
        </w:rPr>
        <w:t>3</w:t>
      </w:r>
      <w:r w:rsidR="00117EDE">
        <w:rPr>
          <w:rStyle w:val="Hyperlink"/>
          <w:noProof/>
          <w:u w:val="none"/>
        </w:rPr>
        <w:t>:</w:t>
      </w:r>
      <w:r w:rsidR="00117EDE" w:rsidRPr="00117EDE">
        <w:rPr>
          <w:rStyle w:val="Hyperlink"/>
          <w:noProof/>
          <w:u w:val="none"/>
        </w:rPr>
        <w:t xml:space="preserve"> </w:t>
      </w:r>
      <w:r w:rsidR="0099229F" w:rsidRPr="00A257C7">
        <w:t>Land Parcel Identification for Contamination</w:t>
      </w:r>
      <w:r w:rsidR="0099229F">
        <w:rPr>
          <w:rStyle w:val="Hyperlink"/>
          <w:noProof/>
          <w:u w:val="none"/>
        </w:rPr>
        <w:t>……..</w:t>
      </w:r>
      <w:r w:rsidR="00117EDE">
        <w:rPr>
          <w:rStyle w:val="Hyperlink"/>
          <w:noProof/>
          <w:u w:val="none"/>
        </w:rPr>
        <w:t>………………………………………………………………..</w:t>
      </w:r>
      <w:r w:rsidR="00EF7C8A">
        <w:rPr>
          <w:rStyle w:val="Hyperlink"/>
          <w:noProof/>
          <w:u w:val="none"/>
        </w:rPr>
        <w:t>56</w:t>
      </w:r>
      <w:r w:rsidR="00117EDE">
        <w:rPr>
          <w:rStyle w:val="Hyperlink"/>
          <w:noProof/>
          <w:u w:val="none"/>
        </w:rPr>
        <w:br/>
      </w:r>
      <w:r w:rsidR="00117EDE" w:rsidRPr="00117EDE">
        <w:rPr>
          <w:rStyle w:val="Hyperlink"/>
          <w:noProof/>
          <w:u w:val="none"/>
        </w:rPr>
        <w:t>Figure 1</w:t>
      </w:r>
      <w:r w:rsidR="00187618">
        <w:rPr>
          <w:rStyle w:val="Hyperlink"/>
          <w:noProof/>
          <w:u w:val="none"/>
        </w:rPr>
        <w:t>4</w:t>
      </w:r>
      <w:r w:rsidR="00117EDE">
        <w:rPr>
          <w:rStyle w:val="Hyperlink"/>
          <w:noProof/>
          <w:u w:val="none"/>
        </w:rPr>
        <w:t>:</w:t>
      </w:r>
      <w:r w:rsidR="00117EDE" w:rsidRPr="00117EDE">
        <w:rPr>
          <w:rStyle w:val="Hyperlink"/>
          <w:noProof/>
          <w:u w:val="none"/>
        </w:rPr>
        <w:t xml:space="preserve"> </w:t>
      </w:r>
      <w:r w:rsidR="00187618" w:rsidRPr="00A257C7">
        <w:t>Heritage Significance Grading</w:t>
      </w:r>
      <w:r w:rsidR="00187618">
        <w:t>………..</w:t>
      </w:r>
      <w:r w:rsidR="00117EDE">
        <w:rPr>
          <w:rStyle w:val="Hyperlink"/>
          <w:noProof/>
          <w:u w:val="none"/>
        </w:rPr>
        <w:t>……………………………………………………………………………………..6</w:t>
      </w:r>
      <w:r w:rsidR="00187618">
        <w:rPr>
          <w:rStyle w:val="Hyperlink"/>
          <w:noProof/>
          <w:u w:val="none"/>
        </w:rPr>
        <w:t>0</w:t>
      </w:r>
      <w:r w:rsidR="00117EDE">
        <w:rPr>
          <w:rStyle w:val="Hyperlink"/>
          <w:noProof/>
          <w:u w:val="none"/>
        </w:rPr>
        <w:br/>
      </w:r>
      <w:r w:rsidR="00117EDE" w:rsidRPr="00117EDE">
        <w:rPr>
          <w:rStyle w:val="Hyperlink"/>
          <w:noProof/>
          <w:u w:val="none"/>
        </w:rPr>
        <w:t>Figure 1</w:t>
      </w:r>
      <w:r w:rsidR="00524B5E">
        <w:rPr>
          <w:rStyle w:val="Hyperlink"/>
          <w:noProof/>
          <w:u w:val="none"/>
        </w:rPr>
        <w:t>5</w:t>
      </w:r>
      <w:r w:rsidR="00117EDE">
        <w:rPr>
          <w:rStyle w:val="Hyperlink"/>
          <w:noProof/>
          <w:u w:val="none"/>
        </w:rPr>
        <w:t>:</w:t>
      </w:r>
      <w:r w:rsidR="00117EDE" w:rsidRPr="00117EDE">
        <w:rPr>
          <w:rStyle w:val="Hyperlink"/>
          <w:noProof/>
          <w:u w:val="none"/>
        </w:rPr>
        <w:t xml:space="preserve"> </w:t>
      </w:r>
      <w:r w:rsidR="00524B5E" w:rsidRPr="00A257C7">
        <w:t>AHIMS Sites within Study Area</w:t>
      </w:r>
      <w:r w:rsidR="00524B5E">
        <w:t>…</w:t>
      </w:r>
      <w:r w:rsidR="00117EDE">
        <w:rPr>
          <w:rStyle w:val="Hyperlink"/>
          <w:noProof/>
          <w:u w:val="none"/>
        </w:rPr>
        <w:t>…………………………………………………………………………………………..</w:t>
      </w:r>
      <w:r w:rsidR="00524B5E">
        <w:rPr>
          <w:rStyle w:val="Hyperlink"/>
          <w:noProof/>
          <w:u w:val="none"/>
        </w:rPr>
        <w:t>62</w:t>
      </w:r>
      <w:r w:rsidR="00117EDE">
        <w:rPr>
          <w:rStyle w:val="Hyperlink"/>
          <w:noProof/>
          <w:u w:val="none"/>
        </w:rPr>
        <w:br/>
      </w:r>
      <w:r w:rsidR="00117EDE" w:rsidRPr="00117EDE">
        <w:rPr>
          <w:rStyle w:val="Hyperlink"/>
          <w:noProof/>
          <w:u w:val="none"/>
        </w:rPr>
        <w:t>Figure 1</w:t>
      </w:r>
      <w:r w:rsidR="00524B5E">
        <w:rPr>
          <w:rStyle w:val="Hyperlink"/>
          <w:noProof/>
          <w:u w:val="none"/>
        </w:rPr>
        <w:t>6</w:t>
      </w:r>
      <w:r w:rsidR="00117EDE">
        <w:rPr>
          <w:rStyle w:val="Hyperlink"/>
          <w:noProof/>
          <w:u w:val="none"/>
        </w:rPr>
        <w:t>:</w:t>
      </w:r>
      <w:r w:rsidR="00117EDE" w:rsidRPr="00117EDE">
        <w:rPr>
          <w:rStyle w:val="Hyperlink"/>
          <w:noProof/>
          <w:u w:val="none"/>
        </w:rPr>
        <w:t xml:space="preserve"> </w:t>
      </w:r>
      <w:r w:rsidR="00117EDE">
        <w:rPr>
          <w:rStyle w:val="Hyperlink"/>
          <w:noProof/>
          <w:u w:val="none"/>
        </w:rPr>
        <w:t>Proposed</w:t>
      </w:r>
      <w:r w:rsidR="00117EDE" w:rsidRPr="00117EDE">
        <w:rPr>
          <w:rStyle w:val="Hyperlink"/>
          <w:noProof/>
          <w:u w:val="none"/>
        </w:rPr>
        <w:t xml:space="preserve"> </w:t>
      </w:r>
      <w:r w:rsidR="00203A9B">
        <w:rPr>
          <w:rStyle w:val="Hyperlink"/>
          <w:noProof/>
          <w:u w:val="none"/>
        </w:rPr>
        <w:t>LEP maps</w:t>
      </w:r>
      <w:r w:rsidR="006606CD">
        <w:rPr>
          <w:rStyle w:val="Hyperlink"/>
          <w:noProof/>
          <w:u w:val="none"/>
        </w:rPr>
        <w:t>.</w:t>
      </w:r>
      <w:r w:rsidR="00117EDE">
        <w:rPr>
          <w:rStyle w:val="Hyperlink"/>
          <w:noProof/>
          <w:u w:val="none"/>
        </w:rPr>
        <w:t>……………………………………………………………………………………………………</w:t>
      </w:r>
      <w:r w:rsidR="00203A9B">
        <w:rPr>
          <w:rStyle w:val="Hyperlink"/>
          <w:noProof/>
          <w:u w:val="none"/>
        </w:rPr>
        <w:t>……….</w:t>
      </w:r>
      <w:r w:rsidR="00117EDE">
        <w:rPr>
          <w:rStyle w:val="Hyperlink"/>
          <w:noProof/>
          <w:u w:val="none"/>
        </w:rPr>
        <w:t>.</w:t>
      </w:r>
      <w:r w:rsidR="006606CD">
        <w:rPr>
          <w:rStyle w:val="Hyperlink"/>
          <w:noProof/>
          <w:u w:val="none"/>
        </w:rPr>
        <w:t>70</w:t>
      </w:r>
      <w:r w:rsidR="00C80BD9" w:rsidRPr="00DD13AC">
        <w:rPr>
          <w:rStyle w:val="Hyperlink"/>
          <w:noProof/>
        </w:rPr>
        <w:fldChar w:fldCharType="begin"/>
      </w:r>
      <w:r w:rsidR="00C80BD9" w:rsidRPr="00DD13AC">
        <w:rPr>
          <w:rStyle w:val="Hyperlink"/>
          <w:noProof/>
        </w:rPr>
        <w:instrText xml:space="preserve"> TOC \h \z \c "Figure" </w:instrText>
      </w:r>
      <w:r w:rsidR="00C80BD9" w:rsidRPr="00DD13AC">
        <w:rPr>
          <w:rStyle w:val="Hyperlink"/>
          <w:noProof/>
        </w:rPr>
        <w:fldChar w:fldCharType="end"/>
      </w:r>
    </w:p>
    <w:p w14:paraId="31D110C4" w14:textId="531250BE" w:rsidR="00117EDE" w:rsidRDefault="00117EDE" w:rsidP="00117EDE">
      <w:pPr>
        <w:tabs>
          <w:tab w:val="left" w:pos="4030"/>
        </w:tabs>
        <w:rPr>
          <w:rStyle w:val="Hyperlink"/>
          <w:noProof/>
          <w:u w:val="none"/>
        </w:rPr>
      </w:pPr>
      <w:r>
        <w:rPr>
          <w:rStyle w:val="Hyperlink"/>
          <w:noProof/>
          <w:u w:val="none"/>
        </w:rPr>
        <w:tab/>
      </w:r>
    </w:p>
    <w:p w14:paraId="0C24CEF2" w14:textId="5F44943E" w:rsidR="00117EDE" w:rsidRPr="00117EDE" w:rsidRDefault="00117EDE" w:rsidP="00117EDE">
      <w:pPr>
        <w:tabs>
          <w:tab w:val="left" w:pos="4030"/>
        </w:tabs>
        <w:sectPr w:rsidR="00117EDE" w:rsidRPr="00117EDE" w:rsidSect="00830291">
          <w:pgSz w:w="11906" w:h="16838"/>
          <w:pgMar w:top="1440" w:right="1440" w:bottom="1440" w:left="1440" w:header="709" w:footer="709" w:gutter="0"/>
          <w:cols w:space="720" w:equalWidth="0">
            <w:col w:w="9360"/>
          </w:cols>
          <w:docGrid w:linePitch="360"/>
        </w:sectPr>
      </w:pPr>
      <w:r>
        <w:tab/>
      </w:r>
    </w:p>
    <w:p w14:paraId="7B23CDE9" w14:textId="1825F65D" w:rsidR="008357A6" w:rsidRPr="00851E9E" w:rsidRDefault="00B51897" w:rsidP="00A17B3F">
      <w:pPr>
        <w:pStyle w:val="Heading-Purple"/>
        <w:rPr>
          <w:lang w:eastAsia="ja-JP"/>
        </w:rPr>
      </w:pPr>
      <w:bookmarkStart w:id="1" w:name="_Toc59014406"/>
      <w:r>
        <w:rPr>
          <w:lang w:eastAsia="ja-JP"/>
        </w:rPr>
        <w:lastRenderedPageBreak/>
        <w:t>Foreword</w:t>
      </w:r>
      <w:bookmarkEnd w:id="1"/>
    </w:p>
    <w:p w14:paraId="71066538" w14:textId="77777777" w:rsidR="001D47F6" w:rsidRDefault="001D47F6" w:rsidP="006E606D">
      <w:pPr>
        <w:pStyle w:val="Body-Black"/>
        <w:spacing w:after="0"/>
        <w:rPr>
          <w:lang w:eastAsia="ja-JP"/>
        </w:rPr>
      </w:pPr>
    </w:p>
    <w:p w14:paraId="1A3C9B89" w14:textId="5CDD1985" w:rsidR="0083065D" w:rsidRPr="005B453B" w:rsidRDefault="00C60150" w:rsidP="00400A1D">
      <w:pPr>
        <w:pStyle w:val="Body-Black"/>
        <w:rPr>
          <w:lang w:eastAsia="ja-JP"/>
        </w:rPr>
      </w:pPr>
      <w:r>
        <w:rPr>
          <w:lang w:eastAsia="ja-JP"/>
        </w:rPr>
        <w:t xml:space="preserve">Council has resolved to prepare a planning proposal following a request made to it by </w:t>
      </w:r>
      <w:r w:rsidR="00875CD2">
        <w:rPr>
          <w:lang w:eastAsia="ja-JP"/>
        </w:rPr>
        <w:t xml:space="preserve">Mecone on behalf of a joint landowner group (JLG) comprising </w:t>
      </w:r>
      <w:r w:rsidR="007723E9">
        <w:rPr>
          <w:lang w:eastAsia="ja-JP"/>
        </w:rPr>
        <w:t>Coronation Property and Leamac Property Group.</w:t>
      </w:r>
      <w:r w:rsidR="00400A1D">
        <w:rPr>
          <w:lang w:eastAsia="ja-JP"/>
        </w:rPr>
        <w:t xml:space="preserve"> The site, Moore Point, is one of the largest and long-term urban regeneration projects in Sydney and will be a catalyst for government to realise its objectives for the Liverpool Collaboration Area. When implemented it will consolidate Liverpool’s role as Sydney’s third CBD and provide a high-quality living and working environment for future generations. Moore Point reflects a delivery of homes, jobs and infrastructure up to 2051, in a highly accessible location, with high urban amenity alongside the Georges River.</w:t>
      </w:r>
    </w:p>
    <w:p w14:paraId="626715DC" w14:textId="7B4FF57F" w:rsidR="00E66ECB" w:rsidRDefault="003C1477" w:rsidP="006D1B57">
      <w:pPr>
        <w:pStyle w:val="Body-Black"/>
      </w:pPr>
      <w:r w:rsidRPr="005B453B">
        <w:rPr>
          <w:lang w:eastAsia="ja-JP"/>
        </w:rPr>
        <w:t xml:space="preserve">The planning proposal </w:t>
      </w:r>
      <w:r w:rsidR="00C60150">
        <w:rPr>
          <w:lang w:eastAsia="ja-JP"/>
        </w:rPr>
        <w:t xml:space="preserve">request </w:t>
      </w:r>
      <w:r w:rsidR="00FB7D5D" w:rsidRPr="005B453B">
        <w:rPr>
          <w:lang w:eastAsia="ja-JP"/>
        </w:rPr>
        <w:t xml:space="preserve">was </w:t>
      </w:r>
      <w:r w:rsidRPr="005B453B">
        <w:rPr>
          <w:lang w:eastAsia="ja-JP"/>
        </w:rPr>
        <w:t>received</w:t>
      </w:r>
      <w:r w:rsidR="00502B64" w:rsidRPr="005B453B">
        <w:rPr>
          <w:lang w:eastAsia="ja-JP"/>
        </w:rPr>
        <w:t xml:space="preserve"> by Liverpool City Council (</w:t>
      </w:r>
      <w:r w:rsidR="00551ECA" w:rsidRPr="005B453B">
        <w:rPr>
          <w:lang w:eastAsia="ja-JP"/>
        </w:rPr>
        <w:t>Council</w:t>
      </w:r>
      <w:r w:rsidR="00502B64" w:rsidRPr="005B453B">
        <w:rPr>
          <w:lang w:eastAsia="ja-JP"/>
        </w:rPr>
        <w:t>)</w:t>
      </w:r>
      <w:r w:rsidRPr="005B453B">
        <w:rPr>
          <w:lang w:eastAsia="ja-JP"/>
        </w:rPr>
        <w:t xml:space="preserve"> </w:t>
      </w:r>
      <w:r w:rsidR="00FB7D5D" w:rsidRPr="005B453B">
        <w:rPr>
          <w:lang w:eastAsia="ja-JP"/>
        </w:rPr>
        <w:t>on</w:t>
      </w:r>
      <w:r w:rsidR="00551ECA" w:rsidRPr="005B453B">
        <w:rPr>
          <w:lang w:eastAsia="ja-JP"/>
        </w:rPr>
        <w:t xml:space="preserve"> </w:t>
      </w:r>
      <w:r w:rsidR="007723E9">
        <w:rPr>
          <w:lang w:eastAsia="ja-JP"/>
        </w:rPr>
        <w:t>15</w:t>
      </w:r>
      <w:r w:rsidR="00E133B9">
        <w:rPr>
          <w:lang w:eastAsia="ja-JP"/>
        </w:rPr>
        <w:t xml:space="preserve"> </w:t>
      </w:r>
      <w:r w:rsidR="007723E9">
        <w:rPr>
          <w:lang w:eastAsia="ja-JP"/>
        </w:rPr>
        <w:t>April</w:t>
      </w:r>
      <w:r w:rsidR="00551ECA" w:rsidRPr="005B453B">
        <w:rPr>
          <w:lang w:eastAsia="ja-JP"/>
        </w:rPr>
        <w:t xml:space="preserve"> </w:t>
      </w:r>
      <w:r w:rsidR="00FB7D5D" w:rsidRPr="005B453B">
        <w:rPr>
          <w:lang w:eastAsia="ja-JP"/>
        </w:rPr>
        <w:t>20</w:t>
      </w:r>
      <w:r w:rsidR="007723E9">
        <w:rPr>
          <w:lang w:eastAsia="ja-JP"/>
        </w:rPr>
        <w:t>20</w:t>
      </w:r>
      <w:r w:rsidR="006D1B57" w:rsidRPr="005B453B">
        <w:rPr>
          <w:lang w:eastAsia="ja-JP"/>
        </w:rPr>
        <w:t>.</w:t>
      </w:r>
      <w:r w:rsidR="00E133B9" w:rsidRPr="00E133B9">
        <w:t xml:space="preserve"> </w:t>
      </w:r>
      <w:r w:rsidR="00E66ECB">
        <w:t xml:space="preserve">The planning proposal </w:t>
      </w:r>
      <w:r w:rsidR="00DC4D49">
        <w:t xml:space="preserve">replaces the previous RZ-6/2015 planning proposal </w:t>
      </w:r>
      <w:r w:rsidR="000221E9">
        <w:t>and withdraws all</w:t>
      </w:r>
      <w:r w:rsidR="00D21EE7">
        <w:t xml:space="preserve"> other previous site-specific </w:t>
      </w:r>
      <w:r w:rsidR="00DC5832">
        <w:t>proposals lodged by the proponents.</w:t>
      </w:r>
    </w:p>
    <w:p w14:paraId="0CCF8774" w14:textId="20BBDF02" w:rsidR="00E133B9" w:rsidRDefault="00E133B9" w:rsidP="006D1B57">
      <w:pPr>
        <w:pStyle w:val="Body-Black"/>
        <w:rPr>
          <w:lang w:eastAsia="ja-JP"/>
        </w:rPr>
      </w:pPr>
      <w:r>
        <w:rPr>
          <w:lang w:eastAsia="ja-JP"/>
        </w:rPr>
        <w:t>An</w:t>
      </w:r>
      <w:r w:rsidRPr="00E133B9">
        <w:rPr>
          <w:lang w:eastAsia="ja-JP"/>
        </w:rPr>
        <w:t xml:space="preserve"> assessment of the planning proposal was undertaken by Council. That assessment determined the planning proposal has strategic and </w:t>
      </w:r>
      <w:r w:rsidR="00310535" w:rsidRPr="00E133B9">
        <w:rPr>
          <w:lang w:eastAsia="ja-JP"/>
        </w:rPr>
        <w:t>site-specific</w:t>
      </w:r>
      <w:r w:rsidRPr="00E133B9">
        <w:rPr>
          <w:lang w:eastAsia="ja-JP"/>
        </w:rPr>
        <w:t xml:space="preserve"> merit and is consistent with Section 9.1 Directions and other relevant regional and local plans.</w:t>
      </w:r>
    </w:p>
    <w:p w14:paraId="712C2E0A" w14:textId="687486F1" w:rsidR="00E133B9" w:rsidRDefault="00E133B9" w:rsidP="006D1B57">
      <w:pPr>
        <w:pStyle w:val="Body-Black"/>
        <w:rPr>
          <w:lang w:eastAsia="ja-JP"/>
        </w:rPr>
      </w:pPr>
      <w:r w:rsidRPr="00E133B9">
        <w:rPr>
          <w:lang w:eastAsia="ja-JP"/>
        </w:rPr>
        <w:t xml:space="preserve">Advice was sought from the Liverpool Local Planning Panel at its meeting on 26 </w:t>
      </w:r>
      <w:r w:rsidR="00012EB9">
        <w:rPr>
          <w:lang w:eastAsia="ja-JP"/>
        </w:rPr>
        <w:t>October</w:t>
      </w:r>
      <w:r w:rsidRPr="00E133B9">
        <w:rPr>
          <w:lang w:eastAsia="ja-JP"/>
        </w:rPr>
        <w:t xml:space="preserve"> 20</w:t>
      </w:r>
      <w:r w:rsidR="00012EB9">
        <w:rPr>
          <w:lang w:eastAsia="ja-JP"/>
        </w:rPr>
        <w:t>20</w:t>
      </w:r>
      <w:r w:rsidRPr="00E133B9">
        <w:rPr>
          <w:lang w:eastAsia="ja-JP"/>
        </w:rPr>
        <w:t xml:space="preserve"> in accordance with the Local Planning Panel Direction – Planning Proposals dated 23 February 2018. Following consider</w:t>
      </w:r>
      <w:r w:rsidR="00012EB9">
        <w:rPr>
          <w:lang w:eastAsia="ja-JP"/>
        </w:rPr>
        <w:t>ation of</w:t>
      </w:r>
      <w:r w:rsidRPr="00E133B9">
        <w:rPr>
          <w:lang w:eastAsia="ja-JP"/>
        </w:rPr>
        <w:t xml:space="preserve"> the assessment report, the </w:t>
      </w:r>
      <w:r w:rsidR="00012EB9">
        <w:rPr>
          <w:lang w:eastAsia="ja-JP"/>
        </w:rPr>
        <w:t xml:space="preserve">full </w:t>
      </w:r>
      <w:r w:rsidRPr="00E133B9">
        <w:rPr>
          <w:lang w:eastAsia="ja-JP"/>
        </w:rPr>
        <w:t xml:space="preserve">panel </w:t>
      </w:r>
      <w:r w:rsidR="0018614E">
        <w:rPr>
          <w:lang w:eastAsia="ja-JP"/>
        </w:rPr>
        <w:t>agreed that</w:t>
      </w:r>
      <w:r w:rsidRPr="00E133B9">
        <w:rPr>
          <w:lang w:eastAsia="ja-JP"/>
        </w:rPr>
        <w:t xml:space="preserve"> the proposal ha</w:t>
      </w:r>
      <w:r w:rsidR="0018614E">
        <w:rPr>
          <w:lang w:eastAsia="ja-JP"/>
        </w:rPr>
        <w:t>d</w:t>
      </w:r>
      <w:r w:rsidRPr="00E133B9">
        <w:rPr>
          <w:lang w:eastAsia="ja-JP"/>
        </w:rPr>
        <w:t xml:space="preserve"> both strategic</w:t>
      </w:r>
      <w:r w:rsidR="00012EB9">
        <w:rPr>
          <w:lang w:eastAsia="ja-JP"/>
        </w:rPr>
        <w:t xml:space="preserve"> merit, </w:t>
      </w:r>
      <w:r w:rsidR="0018614E">
        <w:rPr>
          <w:lang w:eastAsia="ja-JP"/>
        </w:rPr>
        <w:t>and</w:t>
      </w:r>
      <w:r w:rsidR="00012EB9">
        <w:rPr>
          <w:lang w:eastAsia="ja-JP"/>
        </w:rPr>
        <w:t xml:space="preserve"> a majority of the panel </w:t>
      </w:r>
      <w:r w:rsidR="0018614E">
        <w:rPr>
          <w:lang w:eastAsia="ja-JP"/>
        </w:rPr>
        <w:t xml:space="preserve">agreed that the proposal demonstrated </w:t>
      </w:r>
      <w:r w:rsidRPr="00E133B9">
        <w:rPr>
          <w:lang w:eastAsia="ja-JP"/>
        </w:rPr>
        <w:t>site-specific merit.</w:t>
      </w:r>
      <w:r w:rsidR="0018614E">
        <w:rPr>
          <w:lang w:eastAsia="ja-JP"/>
        </w:rPr>
        <w:t xml:space="preserve"> A dissenting opinion </w:t>
      </w:r>
      <w:r w:rsidR="00A63548">
        <w:rPr>
          <w:lang w:eastAsia="ja-JP"/>
        </w:rPr>
        <w:t>stated</w:t>
      </w:r>
      <w:r w:rsidR="0018614E">
        <w:rPr>
          <w:lang w:eastAsia="ja-JP"/>
        </w:rPr>
        <w:t xml:space="preserve"> that site-specific merit had</w:t>
      </w:r>
      <w:r w:rsidR="00A63548">
        <w:rPr>
          <w:lang w:eastAsia="ja-JP"/>
        </w:rPr>
        <w:t xml:space="preserve"> not</w:t>
      </w:r>
      <w:r w:rsidR="0018614E">
        <w:rPr>
          <w:lang w:eastAsia="ja-JP"/>
        </w:rPr>
        <w:t xml:space="preserve"> been demonstrated.</w:t>
      </w:r>
    </w:p>
    <w:p w14:paraId="00558664" w14:textId="2DC7B8D4" w:rsidR="000B2D7D" w:rsidRDefault="00551ECA" w:rsidP="00376892">
      <w:pPr>
        <w:pStyle w:val="Body-Black"/>
        <w:rPr>
          <w:lang w:val="en-US" w:eastAsia="ja-JP"/>
        </w:rPr>
      </w:pPr>
      <w:r w:rsidRPr="005B453B">
        <w:rPr>
          <w:lang w:val="en-US" w:eastAsia="ja-JP"/>
        </w:rPr>
        <w:t xml:space="preserve">The planning proposal </w:t>
      </w:r>
      <w:r w:rsidR="00E17F2F" w:rsidRPr="005B453B">
        <w:rPr>
          <w:lang w:val="en-US" w:eastAsia="ja-JP"/>
        </w:rPr>
        <w:t xml:space="preserve">request </w:t>
      </w:r>
      <w:r w:rsidRPr="005B453B">
        <w:rPr>
          <w:lang w:val="en-US" w:eastAsia="ja-JP"/>
        </w:rPr>
        <w:t xml:space="preserve">was </w:t>
      </w:r>
      <w:r w:rsidR="006D1B57" w:rsidRPr="005B453B">
        <w:rPr>
          <w:lang w:val="en-US" w:eastAsia="ja-JP"/>
        </w:rPr>
        <w:t xml:space="preserve">considered </w:t>
      </w:r>
      <w:r w:rsidR="00C60150">
        <w:rPr>
          <w:lang w:val="en-US" w:eastAsia="ja-JP"/>
        </w:rPr>
        <w:t>by Council at its me</w:t>
      </w:r>
      <w:r w:rsidRPr="005B453B">
        <w:rPr>
          <w:lang w:val="en-US" w:eastAsia="ja-JP"/>
        </w:rPr>
        <w:t>eting of</w:t>
      </w:r>
      <w:r w:rsidR="00F03A60" w:rsidRPr="005B453B">
        <w:rPr>
          <w:lang w:val="en-US" w:eastAsia="ja-JP"/>
        </w:rPr>
        <w:t xml:space="preserve"> </w:t>
      </w:r>
      <w:r w:rsidR="0023181D">
        <w:rPr>
          <w:lang w:val="en-US" w:eastAsia="ja-JP"/>
        </w:rPr>
        <w:t>2</w:t>
      </w:r>
      <w:r w:rsidR="00CC2C5B">
        <w:rPr>
          <w:lang w:val="en-US" w:eastAsia="ja-JP"/>
        </w:rPr>
        <w:t>5</w:t>
      </w:r>
      <w:r w:rsidR="0023181D">
        <w:rPr>
          <w:lang w:val="en-US" w:eastAsia="ja-JP"/>
        </w:rPr>
        <w:t xml:space="preserve"> </w:t>
      </w:r>
      <w:r w:rsidR="00CC2C5B">
        <w:rPr>
          <w:lang w:val="en-US" w:eastAsia="ja-JP"/>
        </w:rPr>
        <w:t>November</w:t>
      </w:r>
      <w:r w:rsidR="0023181D">
        <w:rPr>
          <w:lang w:val="en-US" w:eastAsia="ja-JP"/>
        </w:rPr>
        <w:t xml:space="preserve"> 20</w:t>
      </w:r>
      <w:r w:rsidR="00CC2C5B">
        <w:rPr>
          <w:lang w:val="en-US" w:eastAsia="ja-JP"/>
        </w:rPr>
        <w:t>20</w:t>
      </w:r>
      <w:r w:rsidR="0023181D">
        <w:rPr>
          <w:lang w:val="en-US" w:eastAsia="ja-JP"/>
        </w:rPr>
        <w:t>, where it endorsed the planning proposal and approved forwarding of the planning proposal to the Department of Planning, Industry and Environment (DPIE) for Gateway determination</w:t>
      </w:r>
      <w:r w:rsidR="00CC2C5B">
        <w:rPr>
          <w:lang w:val="en-US" w:eastAsia="ja-JP"/>
        </w:rPr>
        <w:t>, with the following amendments:</w:t>
      </w:r>
    </w:p>
    <w:p w14:paraId="4F4998E5" w14:textId="67DA2B5D" w:rsidR="00230A8B" w:rsidRPr="00230A8B" w:rsidRDefault="00230A8B" w:rsidP="00D34DBA">
      <w:pPr>
        <w:pStyle w:val="Body-Black"/>
        <w:ind w:left="720"/>
        <w:rPr>
          <w:lang w:val="en-US" w:eastAsia="ja-JP"/>
        </w:rPr>
      </w:pPr>
      <w:r w:rsidRPr="00230A8B">
        <w:rPr>
          <w:lang w:val="en-US" w:eastAsia="ja-JP"/>
        </w:rPr>
        <w:t>a)</w:t>
      </w:r>
      <w:r w:rsidR="00D34DBA">
        <w:rPr>
          <w:lang w:val="en-US" w:eastAsia="ja-JP"/>
        </w:rPr>
        <w:t xml:space="preserve"> </w:t>
      </w:r>
      <w:r w:rsidRPr="00230A8B">
        <w:rPr>
          <w:lang w:val="en-US" w:eastAsia="ja-JP"/>
        </w:rPr>
        <w:t>an additional 1.5 hectares of open space marked as ‘Open Space Investigation’ adjacent to Haigh Park</w:t>
      </w:r>
      <w:r>
        <w:rPr>
          <w:lang w:val="en-US" w:eastAsia="ja-JP"/>
        </w:rPr>
        <w:t>;</w:t>
      </w:r>
    </w:p>
    <w:p w14:paraId="620A5F8D" w14:textId="1E5B97B6" w:rsidR="00CC2C5B" w:rsidRDefault="00230A8B" w:rsidP="00D34DBA">
      <w:pPr>
        <w:pStyle w:val="Body-Black"/>
        <w:ind w:left="720"/>
        <w:rPr>
          <w:lang w:val="en-US" w:eastAsia="ja-JP"/>
        </w:rPr>
      </w:pPr>
      <w:r w:rsidRPr="00230A8B">
        <w:rPr>
          <w:lang w:val="en-US" w:eastAsia="ja-JP"/>
        </w:rPr>
        <w:t>b)</w:t>
      </w:r>
      <w:r w:rsidR="00D34DBA">
        <w:rPr>
          <w:lang w:val="en-US" w:eastAsia="ja-JP"/>
        </w:rPr>
        <w:t xml:space="preserve"> </w:t>
      </w:r>
      <w:r w:rsidRPr="00230A8B">
        <w:rPr>
          <w:lang w:val="en-US" w:eastAsia="ja-JP"/>
        </w:rPr>
        <w:t>a minimum 40m RE1 – Public Recreation zone is provided along Lake Moore</w:t>
      </w:r>
      <w:r>
        <w:rPr>
          <w:lang w:val="en-US" w:eastAsia="ja-JP"/>
        </w:rPr>
        <w:t>.</w:t>
      </w:r>
    </w:p>
    <w:p w14:paraId="6E3C2BF5" w14:textId="718A3667" w:rsidR="00F3632A" w:rsidRDefault="00A63548" w:rsidP="009F3F2D">
      <w:pPr>
        <w:pStyle w:val="Body-Black"/>
        <w:rPr>
          <w:iCs w:val="0"/>
          <w:lang w:eastAsia="ja-JP"/>
        </w:rPr>
      </w:pPr>
      <w:r w:rsidRPr="009F3F2D">
        <w:rPr>
          <w:lang w:val="en-US" w:eastAsia="ja-JP"/>
        </w:rPr>
        <w:t xml:space="preserve">Council also requests </w:t>
      </w:r>
      <w:r w:rsidR="0065422B" w:rsidRPr="009F3F2D">
        <w:rPr>
          <w:lang w:val="en-US" w:eastAsia="ja-JP"/>
        </w:rPr>
        <w:t>that the Department conditions relevant studies through Gateway, including finalisation of traffic, flooding, flood evacuation, site contamination and acoustic studies; and that a site-specific DCP and Section 7.11 scheme be developed prior to public exhibition.</w:t>
      </w:r>
      <w:r w:rsidR="00F3632A">
        <w:rPr>
          <w:lang w:eastAsia="ja-JP"/>
        </w:rPr>
        <w:br w:type="page"/>
      </w:r>
    </w:p>
    <w:p w14:paraId="239A29E2" w14:textId="3DD1DB15" w:rsidR="006C4BE2" w:rsidRDefault="00465C40" w:rsidP="00465C40">
      <w:pPr>
        <w:pStyle w:val="Heading-Purple"/>
        <w:rPr>
          <w:lang w:eastAsia="ja-JP"/>
        </w:rPr>
      </w:pPr>
      <w:bookmarkStart w:id="2" w:name="_Toc59014407"/>
      <w:r>
        <w:rPr>
          <w:lang w:eastAsia="ja-JP"/>
        </w:rPr>
        <w:lastRenderedPageBreak/>
        <w:t>Introduction</w:t>
      </w:r>
      <w:bookmarkEnd w:id="2"/>
    </w:p>
    <w:p w14:paraId="0B303CC5" w14:textId="77777777" w:rsidR="006A7778" w:rsidRDefault="006A7778" w:rsidP="00685D9F">
      <w:pPr>
        <w:pStyle w:val="Body-Black"/>
        <w:spacing w:after="0"/>
        <w:rPr>
          <w:color w:val="FF0000"/>
          <w:lang w:eastAsia="ja-JP"/>
        </w:rPr>
      </w:pPr>
    </w:p>
    <w:p w14:paraId="53FD362F" w14:textId="3DEF3456" w:rsidR="009122CD" w:rsidRPr="00C854DB" w:rsidRDefault="005120B0" w:rsidP="009122CD">
      <w:pPr>
        <w:pStyle w:val="Body-Black"/>
        <w:rPr>
          <w:lang w:eastAsia="ja-JP"/>
        </w:rPr>
      </w:pPr>
      <w:r>
        <w:rPr>
          <w:lang w:eastAsia="ja-JP"/>
        </w:rPr>
        <w:t xml:space="preserve">A </w:t>
      </w:r>
      <w:r w:rsidR="00FE15DD" w:rsidRPr="003B37E3">
        <w:rPr>
          <w:lang w:eastAsia="ja-JP"/>
        </w:rPr>
        <w:t xml:space="preserve">planning proposal </w:t>
      </w:r>
      <w:r w:rsidR="007009FE" w:rsidRPr="003B37E3">
        <w:rPr>
          <w:lang w:eastAsia="ja-JP"/>
        </w:rPr>
        <w:t>has</w:t>
      </w:r>
      <w:r w:rsidR="009122CD" w:rsidRPr="003B37E3">
        <w:rPr>
          <w:lang w:eastAsia="ja-JP"/>
        </w:rPr>
        <w:t xml:space="preserve"> been prepared for land </w:t>
      </w:r>
      <w:r w:rsidR="003B37E3" w:rsidRPr="003B37E3">
        <w:rPr>
          <w:lang w:eastAsia="ja-JP"/>
        </w:rPr>
        <w:t xml:space="preserve">at </w:t>
      </w:r>
      <w:r w:rsidR="009F3F2D" w:rsidRPr="009F3F2D">
        <w:rPr>
          <w:lang w:eastAsia="ja-JP"/>
        </w:rPr>
        <w:t>3,5,6,8 &amp; 11 Bridges Road and 361 Newbridge Road</w:t>
      </w:r>
      <w:r w:rsidR="008C1B3C">
        <w:rPr>
          <w:lang w:eastAsia="ja-JP"/>
        </w:rPr>
        <w:t xml:space="preserve">, </w:t>
      </w:r>
      <w:r w:rsidR="003652C9">
        <w:rPr>
          <w:lang w:eastAsia="ja-JP"/>
        </w:rPr>
        <w:t>Moorebank</w:t>
      </w:r>
      <w:r w:rsidR="009122CD" w:rsidRPr="003B37E3">
        <w:rPr>
          <w:lang w:eastAsia="ja-JP"/>
        </w:rPr>
        <w:t xml:space="preserve"> (‘the site’). The site has</w:t>
      </w:r>
      <w:r w:rsidR="009122CD" w:rsidRPr="00C854DB">
        <w:rPr>
          <w:lang w:eastAsia="ja-JP"/>
        </w:rPr>
        <w:t xml:space="preserve"> a legal description of </w:t>
      </w:r>
      <w:r w:rsidR="00F83A29" w:rsidRPr="00F83A29">
        <w:rPr>
          <w:lang w:eastAsia="ja-JP"/>
        </w:rPr>
        <w:t xml:space="preserve">Lot 200, DP 1009044; Lot 100, DP 775780; Lot 201, DP 1009044; Lot 111, DP 1133744; Lot 10, DP 875626; </w:t>
      </w:r>
      <w:r w:rsidR="00F83A29">
        <w:rPr>
          <w:lang w:eastAsia="ja-JP"/>
        </w:rPr>
        <w:t xml:space="preserve">and </w:t>
      </w:r>
      <w:r w:rsidR="00F83A29" w:rsidRPr="00F83A29">
        <w:rPr>
          <w:lang w:eastAsia="ja-JP"/>
        </w:rPr>
        <w:t>Lot 101, DP 827141</w:t>
      </w:r>
      <w:r w:rsidR="009122CD" w:rsidRPr="00C854DB">
        <w:rPr>
          <w:lang w:eastAsia="ja-JP"/>
        </w:rPr>
        <w:t>.</w:t>
      </w:r>
      <w:r w:rsidR="00F272E0" w:rsidRPr="00C854DB">
        <w:rPr>
          <w:lang w:eastAsia="ja-JP"/>
        </w:rPr>
        <w:t xml:space="preserve"> </w:t>
      </w:r>
      <w:r w:rsidR="009122CD" w:rsidRPr="00C854DB">
        <w:rPr>
          <w:lang w:eastAsia="ja-JP"/>
        </w:rPr>
        <w:t xml:space="preserve">The </w:t>
      </w:r>
      <w:r w:rsidR="001F10CE">
        <w:rPr>
          <w:lang w:eastAsia="ja-JP"/>
        </w:rPr>
        <w:t xml:space="preserve">site </w:t>
      </w:r>
      <w:r w:rsidR="009122CD" w:rsidRPr="00C854DB">
        <w:rPr>
          <w:lang w:eastAsia="ja-JP"/>
        </w:rPr>
        <w:t>h</w:t>
      </w:r>
      <w:r w:rsidR="00D4529A">
        <w:rPr>
          <w:lang w:eastAsia="ja-JP"/>
        </w:rPr>
        <w:t xml:space="preserve">as an area of approximately </w:t>
      </w:r>
      <w:r w:rsidR="0035198D">
        <w:rPr>
          <w:lang w:eastAsia="ja-JP"/>
        </w:rPr>
        <w:t>32 hectares</w:t>
      </w:r>
      <w:r w:rsidR="00F3632A">
        <w:rPr>
          <w:lang w:eastAsia="ja-JP"/>
        </w:rPr>
        <w:t>, has</w:t>
      </w:r>
      <w:r w:rsidR="009122CD" w:rsidRPr="00C854DB">
        <w:rPr>
          <w:lang w:eastAsia="ja-JP"/>
        </w:rPr>
        <w:t xml:space="preserve"> </w:t>
      </w:r>
      <w:r w:rsidR="00F3632A">
        <w:rPr>
          <w:lang w:eastAsia="ja-JP"/>
        </w:rPr>
        <w:t>frontages to</w:t>
      </w:r>
      <w:r w:rsidR="009122CD" w:rsidRPr="00C854DB">
        <w:rPr>
          <w:lang w:eastAsia="ja-JP"/>
        </w:rPr>
        <w:t xml:space="preserve"> </w:t>
      </w:r>
      <w:r w:rsidR="00FC023D">
        <w:rPr>
          <w:lang w:eastAsia="ja-JP"/>
        </w:rPr>
        <w:t>Newbridge</w:t>
      </w:r>
      <w:r w:rsidR="00D4529A">
        <w:rPr>
          <w:lang w:eastAsia="ja-JP"/>
        </w:rPr>
        <w:t xml:space="preserve"> Road and </w:t>
      </w:r>
      <w:r w:rsidR="00EF4D54">
        <w:rPr>
          <w:lang w:eastAsia="ja-JP"/>
        </w:rPr>
        <w:t>Bridges Road</w:t>
      </w:r>
      <w:r w:rsidR="009122CD" w:rsidRPr="00C854DB">
        <w:rPr>
          <w:lang w:eastAsia="ja-JP"/>
        </w:rPr>
        <w:t xml:space="preserve">, and is located within the locality of </w:t>
      </w:r>
      <w:r w:rsidR="003652C9">
        <w:rPr>
          <w:lang w:eastAsia="ja-JP"/>
        </w:rPr>
        <w:t>Moorebank</w:t>
      </w:r>
      <w:r w:rsidR="00D4529A">
        <w:rPr>
          <w:lang w:eastAsia="ja-JP"/>
        </w:rPr>
        <w:t xml:space="preserve">. </w:t>
      </w:r>
    </w:p>
    <w:p w14:paraId="191EAC08" w14:textId="6AEDF52B" w:rsidR="009122CD" w:rsidRPr="00C854DB" w:rsidRDefault="005120B0" w:rsidP="009122CD">
      <w:pPr>
        <w:pStyle w:val="Body-Black"/>
        <w:rPr>
          <w:lang w:eastAsia="ja-JP"/>
        </w:rPr>
      </w:pPr>
      <w:r>
        <w:rPr>
          <w:lang w:eastAsia="ja-JP"/>
        </w:rPr>
        <w:t>The planning p</w:t>
      </w:r>
      <w:r w:rsidR="009122CD" w:rsidRPr="00C854DB">
        <w:rPr>
          <w:lang w:eastAsia="ja-JP"/>
        </w:rPr>
        <w:t>roposal seeks to amend the Liverpool Local Environmental Plan (LLEP) 2008, in the following manner:</w:t>
      </w:r>
    </w:p>
    <w:p w14:paraId="71299C71" w14:textId="77777777" w:rsidR="00C45EDE" w:rsidRDefault="00C45EDE" w:rsidP="00FC567E">
      <w:pPr>
        <w:pStyle w:val="Body-Black"/>
        <w:numPr>
          <w:ilvl w:val="0"/>
          <w:numId w:val="13"/>
        </w:numPr>
        <w:rPr>
          <w:lang w:eastAsia="ja-JP"/>
        </w:rPr>
      </w:pPr>
      <w:r>
        <w:rPr>
          <w:lang w:eastAsia="ja-JP"/>
        </w:rPr>
        <w:t>Rezone the site from IN2 Light Industrial to B4 Mixed Use, B6 Enterprise Corridor and RE1 Public Recreation;</w:t>
      </w:r>
    </w:p>
    <w:p w14:paraId="646395DB" w14:textId="29B4AECD" w:rsidR="00C45EDE" w:rsidRDefault="00C45EDE" w:rsidP="00FC567E">
      <w:pPr>
        <w:pStyle w:val="Body-Black"/>
        <w:numPr>
          <w:ilvl w:val="0"/>
          <w:numId w:val="13"/>
        </w:numPr>
        <w:rPr>
          <w:lang w:eastAsia="ja-JP"/>
        </w:rPr>
      </w:pPr>
      <w:r>
        <w:rPr>
          <w:lang w:eastAsia="ja-JP"/>
        </w:rPr>
        <w:t>Increase the maximum height of buildings development standard applying to the site from 15m and 18m to RL136</w:t>
      </w:r>
      <w:r w:rsidR="003652C9">
        <w:rPr>
          <w:lang w:eastAsia="ja-JP"/>
        </w:rPr>
        <w:t>m</w:t>
      </w:r>
      <w:r>
        <w:rPr>
          <w:lang w:eastAsia="ja-JP"/>
        </w:rPr>
        <w:t xml:space="preserve"> and RL108</w:t>
      </w:r>
      <w:r w:rsidR="003652C9">
        <w:rPr>
          <w:lang w:eastAsia="ja-JP"/>
        </w:rPr>
        <w:t>m</w:t>
      </w:r>
      <w:r>
        <w:rPr>
          <w:lang w:eastAsia="ja-JP"/>
        </w:rPr>
        <w:t xml:space="preserve">, and amend </w:t>
      </w:r>
      <w:r w:rsidR="003652C9">
        <w:rPr>
          <w:lang w:eastAsia="ja-JP"/>
        </w:rPr>
        <w:t>the height of buildings m</w:t>
      </w:r>
      <w:r>
        <w:rPr>
          <w:lang w:eastAsia="ja-JP"/>
        </w:rPr>
        <w:t>ap;</w:t>
      </w:r>
    </w:p>
    <w:p w14:paraId="5B78E7AC" w14:textId="5770C833" w:rsidR="00C45EDE" w:rsidRDefault="00C45EDE" w:rsidP="00FC567E">
      <w:pPr>
        <w:pStyle w:val="Body-Black"/>
        <w:numPr>
          <w:ilvl w:val="0"/>
          <w:numId w:val="13"/>
        </w:numPr>
        <w:rPr>
          <w:lang w:eastAsia="ja-JP"/>
        </w:rPr>
      </w:pPr>
      <w:r>
        <w:rPr>
          <w:lang w:eastAsia="ja-JP"/>
        </w:rPr>
        <w:t xml:space="preserve">Increase the maximum floor space ratio for the Site from 0.75:1 to part 4.2:1 and part 3.5:1, and amend the </w:t>
      </w:r>
      <w:r w:rsidR="003652C9">
        <w:rPr>
          <w:lang w:eastAsia="ja-JP"/>
        </w:rPr>
        <w:t>floor space ratio m</w:t>
      </w:r>
      <w:r>
        <w:rPr>
          <w:lang w:eastAsia="ja-JP"/>
        </w:rPr>
        <w:t>ap; and</w:t>
      </w:r>
    </w:p>
    <w:p w14:paraId="485C87A7" w14:textId="70E21C09" w:rsidR="00C45EDE" w:rsidRDefault="00C45EDE" w:rsidP="00FC567E">
      <w:pPr>
        <w:pStyle w:val="Body-Black"/>
        <w:numPr>
          <w:ilvl w:val="0"/>
          <w:numId w:val="13"/>
        </w:numPr>
        <w:rPr>
          <w:lang w:eastAsia="ja-JP"/>
        </w:rPr>
      </w:pPr>
      <w:r>
        <w:rPr>
          <w:lang w:eastAsia="ja-JP"/>
        </w:rPr>
        <w:t>Introduce site-specific controls relating to sun access, design excellence and the preparation of a development control plan.</w:t>
      </w:r>
    </w:p>
    <w:p w14:paraId="2D5A7BBC" w14:textId="1CBD203A" w:rsidR="00D34DBA" w:rsidRPr="00D34DBA" w:rsidRDefault="00D34DBA" w:rsidP="00D34DBA">
      <w:pPr>
        <w:pStyle w:val="ListParagraph"/>
        <w:numPr>
          <w:ilvl w:val="0"/>
          <w:numId w:val="13"/>
        </w:numPr>
        <w:jc w:val="both"/>
        <w:rPr>
          <w:rFonts w:ascii="Arial" w:hAnsi="Arial" w:cs="Arial"/>
          <w:sz w:val="20"/>
          <w:szCs w:val="20"/>
          <w:lang w:eastAsia="ja-JP" w:bidi="en-US"/>
        </w:rPr>
      </w:pPr>
      <w:r>
        <w:rPr>
          <w:rFonts w:ascii="Arial" w:hAnsi="Arial" w:cs="Arial"/>
          <w:sz w:val="20"/>
          <w:szCs w:val="20"/>
          <w:lang w:eastAsia="ja-JP" w:bidi="en-US"/>
        </w:rPr>
        <w:t>Amend Clause 7.22(4) to read ‘</w:t>
      </w:r>
      <w:r w:rsidRPr="002B0097">
        <w:rPr>
          <w:rFonts w:ascii="Arial" w:hAnsi="Arial" w:cs="Arial"/>
          <w:sz w:val="20"/>
          <w:szCs w:val="20"/>
          <w:lang w:eastAsia="ja-JP" w:bidi="en-US"/>
        </w:rPr>
        <w:t>Development consent must not be granted to development for the purposes of a dwelling</w:t>
      </w:r>
      <w:r>
        <w:rPr>
          <w:rFonts w:ascii="Arial" w:hAnsi="Arial" w:cs="Arial"/>
          <w:sz w:val="20"/>
          <w:szCs w:val="20"/>
          <w:lang w:eastAsia="ja-JP" w:bidi="en-US"/>
        </w:rPr>
        <w:t xml:space="preserve"> </w:t>
      </w:r>
      <w:r w:rsidRPr="002B0097">
        <w:rPr>
          <w:rFonts w:ascii="Arial" w:hAnsi="Arial" w:cs="Arial"/>
          <w:sz w:val="20"/>
          <w:szCs w:val="20"/>
          <w:lang w:eastAsia="ja-JP" w:bidi="en-US"/>
        </w:rPr>
        <w:t>on land shown edged heavy green on the Key Sites Map and that adjoins the Hume Highway,</w:t>
      </w:r>
      <w:r>
        <w:rPr>
          <w:rFonts w:ascii="Arial" w:hAnsi="Arial" w:cs="Arial"/>
          <w:sz w:val="20"/>
          <w:szCs w:val="20"/>
          <w:lang w:eastAsia="ja-JP" w:bidi="en-US"/>
        </w:rPr>
        <w:t xml:space="preserve"> </w:t>
      </w:r>
      <w:r w:rsidRPr="00530D4A">
        <w:rPr>
          <w:rFonts w:ascii="Arial" w:hAnsi="Arial" w:cs="Arial"/>
          <w:i/>
          <w:iCs/>
          <w:sz w:val="20"/>
          <w:szCs w:val="20"/>
          <w:u w:val="single"/>
          <w:lang w:eastAsia="ja-JP" w:bidi="en-US"/>
        </w:rPr>
        <w:t>Newbridge Road</w:t>
      </w:r>
      <w:r w:rsidRPr="002B0097">
        <w:rPr>
          <w:rFonts w:ascii="Arial" w:hAnsi="Arial" w:cs="Arial"/>
          <w:sz w:val="20"/>
          <w:szCs w:val="20"/>
          <w:lang w:eastAsia="ja-JP" w:bidi="en-US"/>
        </w:rPr>
        <w:t xml:space="preserve"> or Elizabeth Drive unless the dwelling is at least 8 metres from any boundary</w:t>
      </w:r>
      <w:r>
        <w:rPr>
          <w:rFonts w:ascii="Arial" w:hAnsi="Arial" w:cs="Arial"/>
          <w:sz w:val="20"/>
          <w:szCs w:val="20"/>
          <w:lang w:eastAsia="ja-JP" w:bidi="en-US"/>
        </w:rPr>
        <w:t xml:space="preserve"> </w:t>
      </w:r>
      <w:r w:rsidRPr="002B0097">
        <w:rPr>
          <w:rFonts w:ascii="Arial" w:hAnsi="Arial" w:cs="Arial"/>
          <w:sz w:val="20"/>
          <w:szCs w:val="20"/>
          <w:lang w:eastAsia="ja-JP" w:bidi="en-US"/>
        </w:rPr>
        <w:t>of the land that adjoins either of those roads</w:t>
      </w:r>
      <w:r>
        <w:rPr>
          <w:rFonts w:ascii="Arial" w:hAnsi="Arial" w:cs="Arial"/>
          <w:sz w:val="20"/>
          <w:szCs w:val="20"/>
          <w:lang w:eastAsia="ja-JP" w:bidi="en-US"/>
        </w:rPr>
        <w:t>’, and amend the Key Sites Map to include the Moore Point precinct.</w:t>
      </w:r>
    </w:p>
    <w:p w14:paraId="41103B65" w14:textId="4ED88154" w:rsidR="009122CD" w:rsidRPr="00C854DB" w:rsidRDefault="00BE401B" w:rsidP="009122CD">
      <w:pPr>
        <w:pStyle w:val="Body-Black"/>
        <w:rPr>
          <w:lang w:eastAsia="ja-JP"/>
        </w:rPr>
      </w:pPr>
      <w:r>
        <w:rPr>
          <w:lang w:eastAsia="ja-JP"/>
        </w:rPr>
        <w:t>This planning p</w:t>
      </w:r>
      <w:r w:rsidR="009122CD" w:rsidRPr="00C854DB">
        <w:rPr>
          <w:lang w:eastAsia="ja-JP"/>
        </w:rPr>
        <w:t>roposal provides an analysis of the physical and strategic planning constraints and the opportunities of the site, and considers the relevant environmental, social, and economic impacts of the proposal and its strategic merit.</w:t>
      </w:r>
    </w:p>
    <w:p w14:paraId="3096E260" w14:textId="5BE677F3" w:rsidR="009122CD" w:rsidRPr="00C854DB" w:rsidRDefault="00BE401B" w:rsidP="009122CD">
      <w:pPr>
        <w:pStyle w:val="Body-Black"/>
        <w:rPr>
          <w:lang w:eastAsia="ja-JP"/>
        </w:rPr>
      </w:pPr>
      <w:r>
        <w:rPr>
          <w:lang w:eastAsia="ja-JP"/>
        </w:rPr>
        <w:t>Support for this planning p</w:t>
      </w:r>
      <w:r w:rsidR="009122CD" w:rsidRPr="00C854DB">
        <w:rPr>
          <w:lang w:eastAsia="ja-JP"/>
        </w:rPr>
        <w:t>roposal is based on the following merits:</w:t>
      </w:r>
    </w:p>
    <w:p w14:paraId="2777446F" w14:textId="7165946D" w:rsidR="009122CD" w:rsidRPr="00C854DB" w:rsidRDefault="009122CD" w:rsidP="00037AA1">
      <w:pPr>
        <w:pStyle w:val="Body-Black"/>
        <w:numPr>
          <w:ilvl w:val="0"/>
          <w:numId w:val="7"/>
        </w:numPr>
        <w:rPr>
          <w:lang w:eastAsia="ja-JP"/>
        </w:rPr>
      </w:pPr>
      <w:r w:rsidRPr="00C854DB">
        <w:rPr>
          <w:lang w:eastAsia="ja-JP"/>
        </w:rPr>
        <w:t xml:space="preserve">The proposal </w:t>
      </w:r>
      <w:r w:rsidR="006D4B6B">
        <w:rPr>
          <w:lang w:eastAsia="ja-JP"/>
        </w:rPr>
        <w:t>provides</w:t>
      </w:r>
      <w:r w:rsidRPr="00C854DB">
        <w:rPr>
          <w:lang w:eastAsia="ja-JP"/>
        </w:rPr>
        <w:t xml:space="preserve"> resi</w:t>
      </w:r>
      <w:r w:rsidR="00C86254" w:rsidRPr="00C854DB">
        <w:rPr>
          <w:lang w:eastAsia="ja-JP"/>
        </w:rPr>
        <w:t xml:space="preserve">dential accommodation in a </w:t>
      </w:r>
      <w:r w:rsidRPr="00C854DB">
        <w:rPr>
          <w:lang w:eastAsia="ja-JP"/>
        </w:rPr>
        <w:t>suitable urban location</w:t>
      </w:r>
      <w:r w:rsidR="00575EB0">
        <w:rPr>
          <w:lang w:eastAsia="ja-JP"/>
        </w:rPr>
        <w:t>;</w:t>
      </w:r>
    </w:p>
    <w:p w14:paraId="6AFEE495" w14:textId="4243B9F8" w:rsidR="006D4B6B" w:rsidRDefault="009122CD" w:rsidP="00037AA1">
      <w:pPr>
        <w:pStyle w:val="Body-Black"/>
        <w:numPr>
          <w:ilvl w:val="0"/>
          <w:numId w:val="7"/>
        </w:numPr>
        <w:rPr>
          <w:lang w:eastAsia="ja-JP"/>
        </w:rPr>
      </w:pPr>
      <w:r w:rsidRPr="00C854DB">
        <w:rPr>
          <w:lang w:eastAsia="ja-JP"/>
        </w:rPr>
        <w:t xml:space="preserve">The redevelopment of the site including retail and </w:t>
      </w:r>
      <w:r w:rsidR="006D4B6B">
        <w:rPr>
          <w:lang w:eastAsia="ja-JP"/>
        </w:rPr>
        <w:t>commercial</w:t>
      </w:r>
      <w:r w:rsidRPr="00C854DB">
        <w:rPr>
          <w:lang w:eastAsia="ja-JP"/>
        </w:rPr>
        <w:t xml:space="preserve"> space provides convenience amenity to the locality</w:t>
      </w:r>
      <w:r w:rsidR="00575EB0">
        <w:rPr>
          <w:lang w:eastAsia="ja-JP"/>
        </w:rPr>
        <w:t>;</w:t>
      </w:r>
    </w:p>
    <w:p w14:paraId="3B422E4B" w14:textId="5C0E210A" w:rsidR="000E6B6F" w:rsidRDefault="000E6B6F" w:rsidP="00037AA1">
      <w:pPr>
        <w:pStyle w:val="Body-Black"/>
        <w:numPr>
          <w:ilvl w:val="0"/>
          <w:numId w:val="7"/>
        </w:numPr>
        <w:rPr>
          <w:lang w:eastAsia="ja-JP"/>
        </w:rPr>
      </w:pPr>
      <w:r>
        <w:rPr>
          <w:lang w:eastAsia="ja-JP"/>
        </w:rPr>
        <w:t>The proposal will lead to the revitalisation of the Georges River and Lake Moore;</w:t>
      </w:r>
    </w:p>
    <w:p w14:paraId="251670EC" w14:textId="5BB0834E" w:rsidR="000E6B6F" w:rsidRDefault="000E6B6F" w:rsidP="00037AA1">
      <w:pPr>
        <w:pStyle w:val="Body-Black"/>
        <w:numPr>
          <w:ilvl w:val="0"/>
          <w:numId w:val="7"/>
        </w:numPr>
        <w:rPr>
          <w:lang w:eastAsia="ja-JP"/>
        </w:rPr>
      </w:pPr>
      <w:r>
        <w:rPr>
          <w:lang w:eastAsia="ja-JP"/>
        </w:rPr>
        <w:t xml:space="preserve">The proposal will </w:t>
      </w:r>
      <w:r w:rsidR="00392C30">
        <w:rPr>
          <w:lang w:eastAsia="ja-JP"/>
        </w:rPr>
        <w:t xml:space="preserve">realise Council’s goal to </w:t>
      </w:r>
      <w:r w:rsidR="00FF3952">
        <w:rPr>
          <w:lang w:eastAsia="ja-JP"/>
        </w:rPr>
        <w:t>reorient the Liverpool City Centre around the amenity of the Georges River;</w:t>
      </w:r>
    </w:p>
    <w:p w14:paraId="3F5973B3" w14:textId="4ABD9704" w:rsidR="009122CD" w:rsidRPr="00C854DB" w:rsidRDefault="009122CD" w:rsidP="00037AA1">
      <w:pPr>
        <w:pStyle w:val="Body-Black"/>
        <w:numPr>
          <w:ilvl w:val="0"/>
          <w:numId w:val="7"/>
        </w:numPr>
        <w:rPr>
          <w:lang w:eastAsia="ja-JP"/>
        </w:rPr>
      </w:pPr>
      <w:r w:rsidRPr="00C854DB">
        <w:rPr>
          <w:lang w:eastAsia="ja-JP"/>
        </w:rPr>
        <w:t>The concept demonstrate</w:t>
      </w:r>
      <w:r w:rsidR="001F10CE">
        <w:rPr>
          <w:lang w:eastAsia="ja-JP"/>
        </w:rPr>
        <w:t>s</w:t>
      </w:r>
      <w:r w:rsidRPr="00C854DB">
        <w:rPr>
          <w:lang w:eastAsia="ja-JP"/>
        </w:rPr>
        <w:t xml:space="preserve"> the ability for the building envelopes to achieve consistency with Apartment Design Guideline (ADG) requirements for residential flat development</w:t>
      </w:r>
      <w:r w:rsidR="00575EB0">
        <w:rPr>
          <w:lang w:eastAsia="ja-JP"/>
        </w:rPr>
        <w:t>;</w:t>
      </w:r>
      <w:r w:rsidR="00F3632A">
        <w:rPr>
          <w:lang w:eastAsia="ja-JP"/>
        </w:rPr>
        <w:t xml:space="preserve"> and</w:t>
      </w:r>
    </w:p>
    <w:p w14:paraId="706FDB40" w14:textId="1A618E3B" w:rsidR="009122CD" w:rsidRPr="00C854DB" w:rsidRDefault="009122CD" w:rsidP="00037AA1">
      <w:pPr>
        <w:pStyle w:val="Body-Black"/>
        <w:numPr>
          <w:ilvl w:val="0"/>
          <w:numId w:val="7"/>
        </w:numPr>
        <w:rPr>
          <w:lang w:eastAsia="ja-JP"/>
        </w:rPr>
      </w:pPr>
      <w:r w:rsidRPr="00C854DB">
        <w:rPr>
          <w:lang w:eastAsia="ja-JP"/>
        </w:rPr>
        <w:t xml:space="preserve">The proposal is supported by an offer to deliver </w:t>
      </w:r>
      <w:r w:rsidR="006D4B6B">
        <w:rPr>
          <w:lang w:eastAsia="ja-JP"/>
        </w:rPr>
        <w:t xml:space="preserve">public </w:t>
      </w:r>
      <w:r w:rsidR="00C45EDE">
        <w:rPr>
          <w:lang w:eastAsia="ja-JP"/>
        </w:rPr>
        <w:t>benefit</w:t>
      </w:r>
      <w:r w:rsidR="00A115BB">
        <w:rPr>
          <w:lang w:eastAsia="ja-JP"/>
        </w:rPr>
        <w:t>s</w:t>
      </w:r>
      <w:r w:rsidR="00575EB0">
        <w:rPr>
          <w:lang w:eastAsia="ja-JP"/>
        </w:rPr>
        <w:t>.</w:t>
      </w:r>
    </w:p>
    <w:p w14:paraId="65D40879" w14:textId="49A84A36" w:rsidR="00F40120" w:rsidRPr="00072FDF" w:rsidRDefault="00F40120" w:rsidP="00F40120">
      <w:pPr>
        <w:pStyle w:val="Body-Black"/>
        <w:rPr>
          <w:lang w:eastAsia="ja-JP"/>
        </w:rPr>
      </w:pPr>
      <w:r w:rsidRPr="00072FDF">
        <w:rPr>
          <w:lang w:eastAsia="ja-JP"/>
        </w:rPr>
        <w:t xml:space="preserve">The </w:t>
      </w:r>
      <w:r>
        <w:t>planning proposal</w:t>
      </w:r>
      <w:r w:rsidRPr="00072FDF">
        <w:rPr>
          <w:lang w:eastAsia="ja-JP"/>
        </w:rPr>
        <w:t xml:space="preserve"> is </w:t>
      </w:r>
      <w:r w:rsidR="001F10CE">
        <w:rPr>
          <w:lang w:eastAsia="ja-JP"/>
        </w:rPr>
        <w:t xml:space="preserve">also </w:t>
      </w:r>
      <w:r w:rsidRPr="00072FDF">
        <w:rPr>
          <w:lang w:eastAsia="ja-JP"/>
        </w:rPr>
        <w:t>supported by</w:t>
      </w:r>
      <w:r w:rsidR="00D21A07">
        <w:rPr>
          <w:lang w:eastAsia="ja-JP"/>
        </w:rPr>
        <w:t xml:space="preserve"> the following documents</w:t>
      </w:r>
      <w:r w:rsidRPr="00072FDF">
        <w:rPr>
          <w:lang w:eastAsia="ja-JP"/>
        </w:rPr>
        <w:t>:</w:t>
      </w:r>
    </w:p>
    <w:p w14:paraId="5BDAFEC9" w14:textId="5833E045" w:rsidR="00962166" w:rsidRDefault="00962166" w:rsidP="00FC567E">
      <w:pPr>
        <w:pStyle w:val="Body-Black"/>
        <w:numPr>
          <w:ilvl w:val="0"/>
          <w:numId w:val="14"/>
        </w:numPr>
        <w:rPr>
          <w:lang w:eastAsia="ja-JP"/>
        </w:rPr>
      </w:pPr>
      <w:r>
        <w:rPr>
          <w:lang w:eastAsia="ja-JP"/>
        </w:rPr>
        <w:lastRenderedPageBreak/>
        <w:t>Urban Design Study</w:t>
      </w:r>
    </w:p>
    <w:p w14:paraId="2C24EC29" w14:textId="43CCF296" w:rsidR="00962166" w:rsidRDefault="00962166" w:rsidP="00FC567E">
      <w:pPr>
        <w:pStyle w:val="Body-Black"/>
        <w:numPr>
          <w:ilvl w:val="0"/>
          <w:numId w:val="14"/>
        </w:numPr>
        <w:rPr>
          <w:lang w:eastAsia="ja-JP"/>
        </w:rPr>
      </w:pPr>
      <w:r>
        <w:rPr>
          <w:lang w:eastAsia="ja-JP"/>
        </w:rPr>
        <w:t>Aboriginal Heritage Report</w:t>
      </w:r>
    </w:p>
    <w:p w14:paraId="1F84A9A7" w14:textId="77777777" w:rsidR="00962166" w:rsidRDefault="00962166" w:rsidP="00FC567E">
      <w:pPr>
        <w:pStyle w:val="Body-Black"/>
        <w:numPr>
          <w:ilvl w:val="0"/>
          <w:numId w:val="14"/>
        </w:numPr>
        <w:rPr>
          <w:lang w:eastAsia="ja-JP"/>
        </w:rPr>
      </w:pPr>
      <w:r>
        <w:rPr>
          <w:lang w:eastAsia="ja-JP"/>
        </w:rPr>
        <w:t>Aeronautical Assessment</w:t>
      </w:r>
    </w:p>
    <w:p w14:paraId="3F6D2D75" w14:textId="77777777" w:rsidR="00962166" w:rsidRDefault="00962166" w:rsidP="00FC567E">
      <w:pPr>
        <w:pStyle w:val="Body-Black"/>
        <w:numPr>
          <w:ilvl w:val="0"/>
          <w:numId w:val="14"/>
        </w:numPr>
        <w:rPr>
          <w:lang w:eastAsia="ja-JP"/>
        </w:rPr>
      </w:pPr>
      <w:r>
        <w:rPr>
          <w:lang w:eastAsia="ja-JP"/>
        </w:rPr>
        <w:t>Air Quality Assessment</w:t>
      </w:r>
    </w:p>
    <w:p w14:paraId="5A75A769" w14:textId="77777777" w:rsidR="00962166" w:rsidRDefault="00962166" w:rsidP="00FC567E">
      <w:pPr>
        <w:pStyle w:val="Body-Black"/>
        <w:numPr>
          <w:ilvl w:val="0"/>
          <w:numId w:val="14"/>
        </w:numPr>
        <w:rPr>
          <w:lang w:eastAsia="ja-JP"/>
        </w:rPr>
      </w:pPr>
      <w:r>
        <w:rPr>
          <w:lang w:eastAsia="ja-JP"/>
        </w:rPr>
        <w:t>Biodiversity Assessment</w:t>
      </w:r>
    </w:p>
    <w:p w14:paraId="6EA4530A" w14:textId="77777777" w:rsidR="00962166" w:rsidRDefault="00962166" w:rsidP="00FC567E">
      <w:pPr>
        <w:pStyle w:val="Body-Black"/>
        <w:numPr>
          <w:ilvl w:val="0"/>
          <w:numId w:val="14"/>
        </w:numPr>
        <w:rPr>
          <w:lang w:eastAsia="ja-JP"/>
        </w:rPr>
      </w:pPr>
      <w:r>
        <w:rPr>
          <w:lang w:eastAsia="ja-JP"/>
        </w:rPr>
        <w:t>Community Benefits Analysis</w:t>
      </w:r>
    </w:p>
    <w:p w14:paraId="3112960D" w14:textId="77777777" w:rsidR="00962166" w:rsidRDefault="00962166" w:rsidP="00FC567E">
      <w:pPr>
        <w:pStyle w:val="Body-Black"/>
        <w:numPr>
          <w:ilvl w:val="0"/>
          <w:numId w:val="14"/>
        </w:numPr>
        <w:rPr>
          <w:lang w:eastAsia="ja-JP"/>
        </w:rPr>
      </w:pPr>
      <w:r>
        <w:rPr>
          <w:lang w:eastAsia="ja-JP"/>
        </w:rPr>
        <w:t>Economic Impact Assessment</w:t>
      </w:r>
    </w:p>
    <w:p w14:paraId="31134E76" w14:textId="77777777" w:rsidR="00962166" w:rsidRDefault="00962166" w:rsidP="00FC567E">
      <w:pPr>
        <w:pStyle w:val="Body-Black"/>
        <w:numPr>
          <w:ilvl w:val="0"/>
          <w:numId w:val="14"/>
        </w:numPr>
        <w:rPr>
          <w:lang w:eastAsia="ja-JP"/>
        </w:rPr>
      </w:pPr>
      <w:r>
        <w:rPr>
          <w:lang w:eastAsia="ja-JP"/>
        </w:rPr>
        <w:t>Flood Evacuation Strategy</w:t>
      </w:r>
    </w:p>
    <w:p w14:paraId="4CB5C142" w14:textId="77777777" w:rsidR="00962166" w:rsidRDefault="00962166" w:rsidP="00FC567E">
      <w:pPr>
        <w:pStyle w:val="Body-Black"/>
        <w:numPr>
          <w:ilvl w:val="0"/>
          <w:numId w:val="14"/>
        </w:numPr>
        <w:rPr>
          <w:lang w:eastAsia="ja-JP"/>
        </w:rPr>
      </w:pPr>
      <w:r>
        <w:rPr>
          <w:lang w:eastAsia="ja-JP"/>
        </w:rPr>
        <w:t>Flood Impact Assessment</w:t>
      </w:r>
    </w:p>
    <w:p w14:paraId="73C3EA3F" w14:textId="77777777" w:rsidR="00962166" w:rsidRDefault="00962166" w:rsidP="00FC567E">
      <w:pPr>
        <w:pStyle w:val="Body-Black"/>
        <w:numPr>
          <w:ilvl w:val="0"/>
          <w:numId w:val="14"/>
        </w:numPr>
        <w:rPr>
          <w:lang w:eastAsia="ja-JP"/>
        </w:rPr>
      </w:pPr>
      <w:r>
        <w:rPr>
          <w:lang w:eastAsia="ja-JP"/>
        </w:rPr>
        <w:t>Historical Heritage Assessment</w:t>
      </w:r>
    </w:p>
    <w:p w14:paraId="3DFE7AF5" w14:textId="77777777" w:rsidR="00962166" w:rsidRDefault="00962166" w:rsidP="00FC567E">
      <w:pPr>
        <w:pStyle w:val="Body-Black"/>
        <w:numPr>
          <w:ilvl w:val="0"/>
          <w:numId w:val="14"/>
        </w:numPr>
        <w:rPr>
          <w:lang w:eastAsia="ja-JP"/>
        </w:rPr>
      </w:pPr>
      <w:r>
        <w:rPr>
          <w:lang w:eastAsia="ja-JP"/>
        </w:rPr>
        <w:t>Interim Letter of Offer</w:t>
      </w:r>
    </w:p>
    <w:p w14:paraId="66BFDD72" w14:textId="77777777" w:rsidR="00962166" w:rsidRDefault="00962166" w:rsidP="00FC567E">
      <w:pPr>
        <w:pStyle w:val="Body-Black"/>
        <w:numPr>
          <w:ilvl w:val="0"/>
          <w:numId w:val="14"/>
        </w:numPr>
        <w:rPr>
          <w:lang w:eastAsia="ja-JP"/>
        </w:rPr>
      </w:pPr>
      <w:r>
        <w:rPr>
          <w:lang w:eastAsia="ja-JP"/>
        </w:rPr>
        <w:t>Moore Point Benchmarking Report</w:t>
      </w:r>
    </w:p>
    <w:p w14:paraId="699F5373" w14:textId="77777777" w:rsidR="00962166" w:rsidRDefault="00962166" w:rsidP="00FC567E">
      <w:pPr>
        <w:pStyle w:val="Body-Black"/>
        <w:numPr>
          <w:ilvl w:val="0"/>
          <w:numId w:val="14"/>
        </w:numPr>
        <w:rPr>
          <w:lang w:eastAsia="ja-JP"/>
        </w:rPr>
      </w:pPr>
      <w:r>
        <w:rPr>
          <w:lang w:eastAsia="ja-JP"/>
        </w:rPr>
        <w:t>Part 1 Contamination Assessment</w:t>
      </w:r>
    </w:p>
    <w:p w14:paraId="20515858" w14:textId="77777777" w:rsidR="00962166" w:rsidRDefault="00962166" w:rsidP="00FC567E">
      <w:pPr>
        <w:pStyle w:val="Body-Black"/>
        <w:numPr>
          <w:ilvl w:val="0"/>
          <w:numId w:val="14"/>
        </w:numPr>
        <w:rPr>
          <w:lang w:eastAsia="ja-JP"/>
        </w:rPr>
      </w:pPr>
      <w:r>
        <w:rPr>
          <w:lang w:eastAsia="ja-JP"/>
        </w:rPr>
        <w:t>Part 2 Preliminary Acid Sulfate Soil Management Plan</w:t>
      </w:r>
    </w:p>
    <w:p w14:paraId="6BB6DB38" w14:textId="77777777" w:rsidR="00962166" w:rsidRDefault="00962166" w:rsidP="00FC567E">
      <w:pPr>
        <w:pStyle w:val="Body-Black"/>
        <w:numPr>
          <w:ilvl w:val="0"/>
          <w:numId w:val="14"/>
        </w:numPr>
        <w:rPr>
          <w:lang w:eastAsia="ja-JP"/>
        </w:rPr>
      </w:pPr>
      <w:r>
        <w:rPr>
          <w:lang w:eastAsia="ja-JP"/>
        </w:rPr>
        <w:t>Place Design Framework</w:t>
      </w:r>
    </w:p>
    <w:p w14:paraId="6104D679" w14:textId="77777777" w:rsidR="00962166" w:rsidRDefault="00962166" w:rsidP="00FC567E">
      <w:pPr>
        <w:pStyle w:val="Body-Black"/>
        <w:numPr>
          <w:ilvl w:val="0"/>
          <w:numId w:val="14"/>
        </w:numPr>
        <w:rPr>
          <w:lang w:eastAsia="ja-JP"/>
        </w:rPr>
      </w:pPr>
      <w:r>
        <w:rPr>
          <w:lang w:eastAsia="ja-JP"/>
        </w:rPr>
        <w:t>Riparian Strategy</w:t>
      </w:r>
    </w:p>
    <w:p w14:paraId="79448416" w14:textId="77777777" w:rsidR="00962166" w:rsidRDefault="00962166" w:rsidP="00FC567E">
      <w:pPr>
        <w:pStyle w:val="Body-Black"/>
        <w:numPr>
          <w:ilvl w:val="0"/>
          <w:numId w:val="14"/>
        </w:numPr>
        <w:rPr>
          <w:lang w:eastAsia="ja-JP"/>
        </w:rPr>
      </w:pPr>
      <w:r>
        <w:rPr>
          <w:lang w:eastAsia="ja-JP"/>
        </w:rPr>
        <w:t>Servicing Infrastructure Report</w:t>
      </w:r>
    </w:p>
    <w:p w14:paraId="548C388D" w14:textId="77777777" w:rsidR="00962166" w:rsidRDefault="00962166" w:rsidP="00FC567E">
      <w:pPr>
        <w:pStyle w:val="Body-Black"/>
        <w:numPr>
          <w:ilvl w:val="0"/>
          <w:numId w:val="14"/>
        </w:numPr>
        <w:rPr>
          <w:lang w:eastAsia="ja-JP"/>
        </w:rPr>
      </w:pPr>
      <w:r>
        <w:rPr>
          <w:lang w:eastAsia="ja-JP"/>
        </w:rPr>
        <w:t>Strategic Transport Impact Assessment</w:t>
      </w:r>
    </w:p>
    <w:p w14:paraId="70153F8C" w14:textId="031DFEAA" w:rsidR="00F3632A" w:rsidRDefault="00962166" w:rsidP="00F3632A">
      <w:pPr>
        <w:pStyle w:val="Body-Black"/>
        <w:numPr>
          <w:ilvl w:val="0"/>
          <w:numId w:val="14"/>
        </w:numPr>
        <w:rPr>
          <w:lang w:eastAsia="ja-JP"/>
        </w:rPr>
      </w:pPr>
      <w:r>
        <w:rPr>
          <w:lang w:eastAsia="ja-JP"/>
        </w:rPr>
        <w:t>Sustainability Statement</w:t>
      </w:r>
    </w:p>
    <w:p w14:paraId="41C77832" w14:textId="688F4B61" w:rsidR="00A17B3F" w:rsidRDefault="005131E8" w:rsidP="00D27EF0">
      <w:pPr>
        <w:pStyle w:val="Sub-Heading1-Purple"/>
        <w:rPr>
          <w:lang w:eastAsia="ja-JP"/>
        </w:rPr>
      </w:pPr>
      <w:bookmarkStart w:id="3" w:name="_Toc59014408"/>
      <w:r>
        <w:rPr>
          <w:lang w:eastAsia="ja-JP"/>
        </w:rPr>
        <w:t>P</w:t>
      </w:r>
      <w:r w:rsidR="00A17B3F">
        <w:rPr>
          <w:lang w:eastAsia="ja-JP"/>
        </w:rPr>
        <w:t>roject Backgroun</w:t>
      </w:r>
      <w:r w:rsidR="00F3632A">
        <w:rPr>
          <w:lang w:eastAsia="ja-JP"/>
        </w:rPr>
        <w:t>d</w:t>
      </w:r>
      <w:bookmarkEnd w:id="3"/>
    </w:p>
    <w:p w14:paraId="353F9FFB" w14:textId="77777777" w:rsidR="00D27EF0" w:rsidRDefault="00D27EF0" w:rsidP="007D2DFD">
      <w:pPr>
        <w:pStyle w:val="Body-Black"/>
        <w:spacing w:after="0"/>
        <w:rPr>
          <w:color w:val="FF0000"/>
          <w:lang w:eastAsia="ja-JP"/>
        </w:rPr>
      </w:pPr>
    </w:p>
    <w:p w14:paraId="32A78D87" w14:textId="2F3F27A5" w:rsidR="001C49DC" w:rsidRDefault="00547B63" w:rsidP="00547B63">
      <w:pPr>
        <w:pStyle w:val="Body-Black"/>
        <w:rPr>
          <w:lang w:eastAsia="ja-JP"/>
        </w:rPr>
      </w:pPr>
      <w:r>
        <w:rPr>
          <w:lang w:eastAsia="ja-JP"/>
        </w:rPr>
        <w:t xml:space="preserve">Council received a planning proposal request for the subject land on 15 April 2020. The planning proposal replaces the previous RZ-6-2015 planning </w:t>
      </w:r>
      <w:r w:rsidR="003652C9">
        <w:rPr>
          <w:lang w:eastAsia="ja-JP"/>
        </w:rPr>
        <w:t>proposal and</w:t>
      </w:r>
      <w:r>
        <w:rPr>
          <w:lang w:eastAsia="ja-JP"/>
        </w:rPr>
        <w:t xml:space="preserve"> withdraws all other previous site-specific proposals that have been lodged by the proponents. Council had previously deferred consideration of these requests while the draft Georges River Precinct Plan was developed in 2016, and again until the release of the Liverpool Collaboration Area Place Strategy. </w:t>
      </w:r>
    </w:p>
    <w:p w14:paraId="6717E957" w14:textId="1E2AA587" w:rsidR="00547B63" w:rsidRDefault="00547B63" w:rsidP="00547B63">
      <w:pPr>
        <w:pStyle w:val="Body-Black"/>
        <w:rPr>
          <w:lang w:eastAsia="ja-JP"/>
        </w:rPr>
      </w:pPr>
      <w:r>
        <w:rPr>
          <w:lang w:eastAsia="ja-JP"/>
        </w:rPr>
        <w:t xml:space="preserve">Following the adoption of the Liverpool Collaboration Area Place Strategy by the Greater Sydney Commission in September 2018, Council indicated to landowners in Moore Point that it was prepared to consider a rezoning of land in the precinct that would meet the intention expressed in the Liverpool Collaboration Area Place Strategy, namely ‘a mixture of commercial, retail, residential and community uses that provide sustainable employment, that is complementary to, and not in competition with, the commercial core of the Liverpool CBD’. Council’s Local Strategic Planning Statement (LSPS) also provides support for </w:t>
      </w:r>
      <w:r>
        <w:rPr>
          <w:lang w:eastAsia="ja-JP"/>
        </w:rPr>
        <w:lastRenderedPageBreak/>
        <w:t>the rezoning of the area, stating that Council would ‘Investigate amendments to LEP to rezone River precinct north of Newbridge Road (Moore Point) as a mixed-use zone to support the Liverpool CBD and Innovation Precinct, with an extensive open space system and cross-river linkages’ over the short-to-medium te</w:t>
      </w:r>
      <w:r w:rsidR="001C49DC">
        <w:rPr>
          <w:lang w:eastAsia="ja-JP"/>
        </w:rPr>
        <w:t>rm.</w:t>
      </w:r>
    </w:p>
    <w:p w14:paraId="38AF5943" w14:textId="6509E3A2" w:rsidR="001C49DC" w:rsidRPr="00FF3952" w:rsidRDefault="00547B63" w:rsidP="00FF3952">
      <w:pPr>
        <w:pStyle w:val="Body-Black"/>
        <w:rPr>
          <w:lang w:eastAsia="ja-JP"/>
        </w:rPr>
      </w:pPr>
      <w:r>
        <w:rPr>
          <w:lang w:eastAsia="ja-JP"/>
        </w:rPr>
        <w:t>Council indicated to landowners that had previously submitted planning proposals that a precinct-wide approach to development of Moore Point should be undertaken, including a structure plan for the entire precinct.</w:t>
      </w:r>
      <w:r w:rsidR="001C49DC">
        <w:rPr>
          <w:lang w:eastAsia="ja-JP"/>
        </w:rPr>
        <w:t xml:space="preserve"> </w:t>
      </w:r>
    </w:p>
    <w:p w14:paraId="2FBF5586" w14:textId="1B4825F6" w:rsidR="00315EFE" w:rsidRDefault="00315EFE" w:rsidP="00B2528D">
      <w:pPr>
        <w:pStyle w:val="Sub-Heading1-Purple"/>
        <w:rPr>
          <w:lang w:eastAsia="ja-JP"/>
        </w:rPr>
      </w:pPr>
      <w:bookmarkStart w:id="4" w:name="_Toc59014409"/>
      <w:r>
        <w:rPr>
          <w:lang w:eastAsia="ja-JP"/>
        </w:rPr>
        <w:t>Report Structure</w:t>
      </w:r>
      <w:bookmarkEnd w:id="4"/>
    </w:p>
    <w:p w14:paraId="64E93E24" w14:textId="77777777" w:rsidR="00D27EF0" w:rsidRDefault="00D27EF0" w:rsidP="007D2DFD">
      <w:pPr>
        <w:pStyle w:val="Body-Black"/>
        <w:spacing w:after="0"/>
        <w:rPr>
          <w:color w:val="FF0000"/>
          <w:lang w:eastAsia="ja-JP"/>
        </w:rPr>
      </w:pPr>
    </w:p>
    <w:p w14:paraId="5690F2DD" w14:textId="3DC4F91A" w:rsidR="00315EFE" w:rsidRPr="00D55D6F" w:rsidRDefault="00CE60E7" w:rsidP="00315EFE">
      <w:pPr>
        <w:pStyle w:val="Body-Black"/>
        <w:rPr>
          <w:lang w:eastAsia="ja-JP"/>
        </w:rPr>
      </w:pPr>
      <w:r>
        <w:rPr>
          <w:lang w:eastAsia="ja-JP"/>
        </w:rPr>
        <w:t>This p</w:t>
      </w:r>
      <w:r w:rsidR="00315EFE" w:rsidRPr="00D55D6F">
        <w:rPr>
          <w:lang w:eastAsia="ja-JP"/>
        </w:rPr>
        <w:t>lanning proposal has been prepared in accordance with Section 3.33 of the E</w:t>
      </w:r>
      <w:r w:rsidR="001F10CE">
        <w:rPr>
          <w:lang w:eastAsia="ja-JP"/>
        </w:rPr>
        <w:t>nvironmental Planning &amp;</w:t>
      </w:r>
      <w:r w:rsidR="00315EFE" w:rsidRPr="00D55D6F">
        <w:rPr>
          <w:lang w:eastAsia="ja-JP"/>
        </w:rPr>
        <w:t>A</w:t>
      </w:r>
      <w:r w:rsidR="001F10CE">
        <w:rPr>
          <w:lang w:eastAsia="ja-JP"/>
        </w:rPr>
        <w:t>ssessment Act 1979</w:t>
      </w:r>
      <w:r w:rsidR="00315EFE" w:rsidRPr="00D55D6F">
        <w:rPr>
          <w:lang w:eastAsia="ja-JP"/>
        </w:rPr>
        <w:t xml:space="preserve"> with consideration of </w:t>
      </w:r>
      <w:r w:rsidR="0046693B" w:rsidRPr="00D55D6F">
        <w:rPr>
          <w:lang w:eastAsia="ja-JP"/>
        </w:rPr>
        <w:t xml:space="preserve">DPIE’s </w:t>
      </w:r>
      <w:r w:rsidR="00315EFE" w:rsidRPr="00B2049F">
        <w:rPr>
          <w:i/>
          <w:lang w:eastAsia="ja-JP"/>
        </w:rPr>
        <w:t>A guide to preparing</w:t>
      </w:r>
      <w:r w:rsidR="006F5B25">
        <w:rPr>
          <w:i/>
          <w:lang w:eastAsia="ja-JP"/>
        </w:rPr>
        <w:t xml:space="preserve"> planning p</w:t>
      </w:r>
      <w:r w:rsidR="0046693B" w:rsidRPr="00B2049F">
        <w:rPr>
          <w:i/>
          <w:lang w:eastAsia="ja-JP"/>
        </w:rPr>
        <w:t>roposals</w:t>
      </w:r>
      <w:r w:rsidR="0046693B" w:rsidRPr="00D55D6F">
        <w:rPr>
          <w:lang w:eastAsia="ja-JP"/>
        </w:rPr>
        <w:t xml:space="preserve"> (December 2018</w:t>
      </w:r>
      <w:r w:rsidR="00315EFE" w:rsidRPr="00D55D6F">
        <w:rPr>
          <w:lang w:eastAsia="ja-JP"/>
        </w:rPr>
        <w:t>). Accordingly, the proposal is discussed in the following parts:</w:t>
      </w:r>
    </w:p>
    <w:p w14:paraId="11C1E32D" w14:textId="29473D13" w:rsidR="00315EFE" w:rsidRPr="00D55D6F" w:rsidRDefault="00315EFE" w:rsidP="00F3632A">
      <w:pPr>
        <w:pStyle w:val="Body-Black"/>
        <w:numPr>
          <w:ilvl w:val="0"/>
          <w:numId w:val="2"/>
        </w:numPr>
        <w:rPr>
          <w:lang w:eastAsia="ja-JP"/>
        </w:rPr>
      </w:pPr>
      <w:r w:rsidRPr="00D55D6F">
        <w:rPr>
          <w:lang w:eastAsia="ja-JP"/>
        </w:rPr>
        <w:t>Site Description</w:t>
      </w:r>
    </w:p>
    <w:p w14:paraId="5634F57C" w14:textId="538F1A87" w:rsidR="00315EFE" w:rsidRPr="00D55D6F" w:rsidRDefault="00315EFE" w:rsidP="00F3632A">
      <w:pPr>
        <w:pStyle w:val="Body-Black"/>
        <w:numPr>
          <w:ilvl w:val="0"/>
          <w:numId w:val="2"/>
        </w:numPr>
        <w:rPr>
          <w:lang w:eastAsia="ja-JP"/>
        </w:rPr>
      </w:pPr>
      <w:r w:rsidRPr="00D55D6F">
        <w:rPr>
          <w:lang w:eastAsia="ja-JP"/>
        </w:rPr>
        <w:t xml:space="preserve">Statutory Planning Framework </w:t>
      </w:r>
    </w:p>
    <w:p w14:paraId="48BA8278" w14:textId="7884F897" w:rsidR="00315EFE" w:rsidRPr="00D55D6F" w:rsidRDefault="00315EFE" w:rsidP="00F3632A">
      <w:pPr>
        <w:pStyle w:val="Body-Black"/>
        <w:numPr>
          <w:ilvl w:val="0"/>
          <w:numId w:val="2"/>
        </w:numPr>
        <w:rPr>
          <w:lang w:eastAsia="ja-JP"/>
        </w:rPr>
      </w:pPr>
      <w:r w:rsidRPr="00D55D6F">
        <w:rPr>
          <w:lang w:eastAsia="ja-JP"/>
        </w:rPr>
        <w:t xml:space="preserve">Part 1 – A </w:t>
      </w:r>
      <w:r w:rsidR="003B08AA" w:rsidRPr="00D55D6F">
        <w:rPr>
          <w:lang w:eastAsia="ja-JP"/>
        </w:rPr>
        <w:t xml:space="preserve">Statement </w:t>
      </w:r>
      <w:r w:rsidRPr="00D55D6F">
        <w:rPr>
          <w:lang w:eastAsia="ja-JP"/>
        </w:rPr>
        <w:t xml:space="preserve">of the </w:t>
      </w:r>
      <w:r w:rsidR="003B08AA" w:rsidRPr="00D55D6F">
        <w:rPr>
          <w:lang w:eastAsia="ja-JP"/>
        </w:rPr>
        <w:t>Objectives and Intended Outcome</w:t>
      </w:r>
    </w:p>
    <w:p w14:paraId="362C0911" w14:textId="763E2179" w:rsidR="00315EFE" w:rsidRPr="00D55D6F" w:rsidRDefault="00315EFE" w:rsidP="00F3632A">
      <w:pPr>
        <w:pStyle w:val="Body-Black"/>
        <w:numPr>
          <w:ilvl w:val="0"/>
          <w:numId w:val="2"/>
        </w:numPr>
        <w:rPr>
          <w:lang w:eastAsia="ja-JP"/>
        </w:rPr>
      </w:pPr>
      <w:r w:rsidRPr="00D55D6F">
        <w:rPr>
          <w:lang w:eastAsia="ja-JP"/>
        </w:rPr>
        <w:t xml:space="preserve">Part 2 – </w:t>
      </w:r>
      <w:r w:rsidR="003B08AA" w:rsidRPr="00D55D6F">
        <w:rPr>
          <w:lang w:eastAsia="ja-JP"/>
        </w:rPr>
        <w:t>Explanation of Provisions</w:t>
      </w:r>
    </w:p>
    <w:p w14:paraId="526491FD" w14:textId="790A0F57" w:rsidR="00315EFE" w:rsidRPr="00D55D6F" w:rsidRDefault="00315EFE" w:rsidP="00F3632A">
      <w:pPr>
        <w:pStyle w:val="Body-Black"/>
        <w:numPr>
          <w:ilvl w:val="0"/>
          <w:numId w:val="2"/>
        </w:numPr>
        <w:rPr>
          <w:lang w:eastAsia="ja-JP"/>
        </w:rPr>
      </w:pPr>
      <w:r w:rsidRPr="00D55D6F">
        <w:rPr>
          <w:lang w:eastAsia="ja-JP"/>
        </w:rPr>
        <w:t xml:space="preserve">Part 3 – </w:t>
      </w:r>
      <w:r w:rsidR="003B08AA" w:rsidRPr="00D55D6F">
        <w:rPr>
          <w:lang w:eastAsia="ja-JP"/>
        </w:rPr>
        <w:t>Justification</w:t>
      </w:r>
    </w:p>
    <w:p w14:paraId="77417551" w14:textId="1C81E9CF" w:rsidR="00315EFE" w:rsidRPr="00D55D6F" w:rsidRDefault="00315EFE" w:rsidP="00F3632A">
      <w:pPr>
        <w:pStyle w:val="Body-Black"/>
        <w:numPr>
          <w:ilvl w:val="0"/>
          <w:numId w:val="2"/>
        </w:numPr>
        <w:rPr>
          <w:lang w:eastAsia="ja-JP"/>
        </w:rPr>
      </w:pPr>
      <w:r w:rsidRPr="00D55D6F">
        <w:rPr>
          <w:lang w:eastAsia="ja-JP"/>
        </w:rPr>
        <w:t>Part 4 – Mapping</w:t>
      </w:r>
    </w:p>
    <w:p w14:paraId="253E9F89" w14:textId="70DDE142" w:rsidR="00315EFE" w:rsidRPr="00D55D6F" w:rsidRDefault="00315EFE" w:rsidP="00F3632A">
      <w:pPr>
        <w:pStyle w:val="Body-Black"/>
        <w:numPr>
          <w:ilvl w:val="0"/>
          <w:numId w:val="2"/>
        </w:numPr>
        <w:rPr>
          <w:lang w:eastAsia="ja-JP"/>
        </w:rPr>
      </w:pPr>
      <w:r w:rsidRPr="00D55D6F">
        <w:rPr>
          <w:lang w:eastAsia="ja-JP"/>
        </w:rPr>
        <w:t xml:space="preserve">Part 5 – </w:t>
      </w:r>
      <w:r w:rsidR="003B08AA" w:rsidRPr="00D55D6F">
        <w:rPr>
          <w:lang w:eastAsia="ja-JP"/>
        </w:rPr>
        <w:t>Community Consultation</w:t>
      </w:r>
    </w:p>
    <w:p w14:paraId="7EE792CF" w14:textId="1FF76154" w:rsidR="00315EFE" w:rsidRPr="00D55D6F" w:rsidRDefault="00315EFE" w:rsidP="00F3632A">
      <w:pPr>
        <w:pStyle w:val="Body-Black"/>
        <w:numPr>
          <w:ilvl w:val="0"/>
          <w:numId w:val="2"/>
        </w:numPr>
        <w:rPr>
          <w:lang w:eastAsia="ja-JP"/>
        </w:rPr>
      </w:pPr>
      <w:r w:rsidRPr="00D55D6F">
        <w:rPr>
          <w:lang w:eastAsia="ja-JP"/>
        </w:rPr>
        <w:t>Part 6 – Project timeline</w:t>
      </w:r>
    </w:p>
    <w:p w14:paraId="705D8D0F" w14:textId="24CB3AEF" w:rsidR="00315EFE" w:rsidRPr="00D55D6F" w:rsidRDefault="00315EFE">
      <w:pPr>
        <w:rPr>
          <w:rFonts w:ascii="Arial" w:eastAsiaTheme="minorEastAsia" w:hAnsi="Arial" w:cs="Arial"/>
          <w:iCs/>
          <w:sz w:val="20"/>
          <w:lang w:val="en-AU" w:eastAsia="ja-JP"/>
        </w:rPr>
      </w:pPr>
      <w:r w:rsidRPr="00D55D6F">
        <w:rPr>
          <w:lang w:eastAsia="ja-JP"/>
        </w:rPr>
        <w:br w:type="page"/>
      </w:r>
    </w:p>
    <w:p w14:paraId="46ACD6F6" w14:textId="77777777" w:rsidR="00CC6323" w:rsidRDefault="008A5237" w:rsidP="001A017F">
      <w:pPr>
        <w:pStyle w:val="Heading-Purple"/>
        <w:spacing w:line="276" w:lineRule="auto"/>
        <w:rPr>
          <w:lang w:eastAsia="ja-JP"/>
        </w:rPr>
      </w:pPr>
      <w:bookmarkStart w:id="5" w:name="_Toc59014410"/>
      <w:r>
        <w:rPr>
          <w:lang w:eastAsia="ja-JP"/>
        </w:rPr>
        <w:lastRenderedPageBreak/>
        <w:t>Site description</w:t>
      </w:r>
      <w:bookmarkEnd w:id="5"/>
      <w:r w:rsidR="001A017F">
        <w:rPr>
          <w:lang w:eastAsia="ja-JP"/>
        </w:rPr>
        <w:br/>
      </w:r>
    </w:p>
    <w:p w14:paraId="6C27173C" w14:textId="6FBF7341" w:rsidR="00315EFE" w:rsidRDefault="001A017F" w:rsidP="001A017F">
      <w:pPr>
        <w:pStyle w:val="Heading-Purple"/>
        <w:spacing w:line="276" w:lineRule="auto"/>
        <w:rPr>
          <w:lang w:eastAsia="ja-JP"/>
        </w:rPr>
      </w:pPr>
      <w:bookmarkStart w:id="6" w:name="_Toc59014411"/>
      <w:r>
        <w:rPr>
          <w:sz w:val="22"/>
          <w:lang w:eastAsia="ja-JP"/>
        </w:rPr>
        <w:t>Overview</w:t>
      </w:r>
      <w:bookmarkEnd w:id="6"/>
    </w:p>
    <w:p w14:paraId="1469FE40" w14:textId="77777777" w:rsidR="001A017F" w:rsidRPr="001A017F" w:rsidRDefault="001A017F" w:rsidP="007D2DFD">
      <w:pPr>
        <w:pStyle w:val="Body-Black"/>
        <w:spacing w:after="0"/>
        <w:rPr>
          <w:lang w:eastAsia="ja-JP"/>
        </w:rPr>
      </w:pPr>
      <w:bookmarkStart w:id="7" w:name="_Ref20143972"/>
    </w:p>
    <w:p w14:paraId="3ACF1B54" w14:textId="1DDB6E45" w:rsidR="001A017F" w:rsidRDefault="00485760" w:rsidP="00037AA1">
      <w:pPr>
        <w:pStyle w:val="Body-Black"/>
        <w:numPr>
          <w:ilvl w:val="0"/>
          <w:numId w:val="3"/>
        </w:numPr>
        <w:rPr>
          <w:lang w:eastAsia="ja-JP"/>
        </w:rPr>
      </w:pPr>
      <w:r w:rsidRPr="001D082F">
        <w:rPr>
          <w:b/>
          <w:lang w:eastAsia="ja-JP"/>
        </w:rPr>
        <w:t>Address</w:t>
      </w:r>
      <w:r>
        <w:rPr>
          <w:lang w:eastAsia="ja-JP"/>
        </w:rPr>
        <w:t xml:space="preserve">: </w:t>
      </w:r>
      <w:r w:rsidR="007B6413" w:rsidRPr="007B6413">
        <w:rPr>
          <w:lang w:eastAsia="ja-JP"/>
        </w:rPr>
        <w:t>3,5,6,8 &amp; 11 Bridges Road and 361 Newbridge Road, Moorebank</w:t>
      </w:r>
    </w:p>
    <w:p w14:paraId="551ECC3C" w14:textId="61C662CE" w:rsidR="001A017F" w:rsidRDefault="00485760" w:rsidP="00037AA1">
      <w:pPr>
        <w:pStyle w:val="Body-Black"/>
        <w:numPr>
          <w:ilvl w:val="0"/>
          <w:numId w:val="3"/>
        </w:numPr>
        <w:rPr>
          <w:lang w:eastAsia="ja-JP"/>
        </w:rPr>
      </w:pPr>
      <w:r w:rsidRPr="001A017F">
        <w:rPr>
          <w:b/>
          <w:lang w:eastAsia="ja-JP"/>
        </w:rPr>
        <w:t>Legal description</w:t>
      </w:r>
      <w:r>
        <w:rPr>
          <w:lang w:eastAsia="ja-JP"/>
        </w:rPr>
        <w:t xml:space="preserve">: </w:t>
      </w:r>
      <w:r w:rsidR="007B6413" w:rsidRPr="007B6413">
        <w:rPr>
          <w:lang w:eastAsia="ja-JP"/>
        </w:rPr>
        <w:t>Lot 200, DP 1009044; Lot 100, DP 775780; Lot 201, DP 1009044; Lot 111, DP 1133744; Lot 10, DP 875626; Lot 101, DP 827141</w:t>
      </w:r>
    </w:p>
    <w:p w14:paraId="4FE1C889" w14:textId="78A4BABC" w:rsidR="001A017F" w:rsidRDefault="00485760" w:rsidP="00037AA1">
      <w:pPr>
        <w:pStyle w:val="Body-Black"/>
        <w:numPr>
          <w:ilvl w:val="0"/>
          <w:numId w:val="3"/>
        </w:numPr>
        <w:rPr>
          <w:lang w:eastAsia="ja-JP"/>
        </w:rPr>
      </w:pPr>
      <w:r w:rsidRPr="001A017F">
        <w:rPr>
          <w:b/>
          <w:lang w:eastAsia="ja-JP"/>
        </w:rPr>
        <w:t>Site area</w:t>
      </w:r>
      <w:r w:rsidR="00B672A9">
        <w:rPr>
          <w:lang w:eastAsia="ja-JP"/>
        </w:rPr>
        <w:t xml:space="preserve">: </w:t>
      </w:r>
      <w:r w:rsidR="007B6413">
        <w:rPr>
          <w:lang w:eastAsia="ja-JP"/>
        </w:rPr>
        <w:t>32 ha</w:t>
      </w:r>
    </w:p>
    <w:p w14:paraId="4E8B124F" w14:textId="14FD6E4B" w:rsidR="00315EFE" w:rsidRDefault="00485760" w:rsidP="00037AA1">
      <w:pPr>
        <w:pStyle w:val="Body-Black"/>
        <w:numPr>
          <w:ilvl w:val="0"/>
          <w:numId w:val="3"/>
        </w:numPr>
        <w:spacing w:after="0"/>
        <w:jc w:val="left"/>
        <w:rPr>
          <w:lang w:eastAsia="ja-JP"/>
        </w:rPr>
      </w:pPr>
      <w:r w:rsidRPr="001A017F">
        <w:rPr>
          <w:b/>
          <w:lang w:eastAsia="ja-JP"/>
        </w:rPr>
        <w:t>Road network</w:t>
      </w:r>
      <w:r>
        <w:rPr>
          <w:lang w:eastAsia="ja-JP"/>
        </w:rPr>
        <w:t xml:space="preserve">: </w:t>
      </w:r>
      <w:r w:rsidR="00B672A9">
        <w:rPr>
          <w:lang w:eastAsia="ja-JP"/>
        </w:rPr>
        <w:t xml:space="preserve">frontages onto </w:t>
      </w:r>
      <w:r w:rsidR="007B6413">
        <w:rPr>
          <w:lang w:eastAsia="ja-JP"/>
        </w:rPr>
        <w:t>Newbrid</w:t>
      </w:r>
      <w:r w:rsidR="007104ED">
        <w:rPr>
          <w:lang w:eastAsia="ja-JP"/>
        </w:rPr>
        <w:t>g</w:t>
      </w:r>
      <w:r w:rsidR="007B6413">
        <w:rPr>
          <w:lang w:eastAsia="ja-JP"/>
        </w:rPr>
        <w:t>e Road and Bridges Road</w:t>
      </w:r>
      <w:r w:rsidR="0007113B">
        <w:rPr>
          <w:lang w:eastAsia="ja-JP"/>
        </w:rPr>
        <w:br/>
      </w:r>
    </w:p>
    <w:p w14:paraId="2FC31506" w14:textId="77777777" w:rsidR="00512A8A" w:rsidRPr="00512A8A" w:rsidRDefault="00DA3931" w:rsidP="00512A8A">
      <w:pPr>
        <w:pStyle w:val="Heading-Purple"/>
        <w:spacing w:line="276" w:lineRule="auto"/>
        <w:rPr>
          <w:sz w:val="22"/>
          <w:szCs w:val="22"/>
          <w:lang w:eastAsia="ja-JP"/>
        </w:rPr>
      </w:pPr>
      <w:bookmarkStart w:id="8" w:name="_Toc59014412"/>
      <w:r w:rsidRPr="00512A8A">
        <w:rPr>
          <w:sz w:val="22"/>
          <w:szCs w:val="22"/>
          <w:lang w:eastAsia="ja-JP"/>
        </w:rPr>
        <w:t>Site Context and Locality</w:t>
      </w:r>
      <w:bookmarkEnd w:id="8"/>
    </w:p>
    <w:p w14:paraId="6EE7459D" w14:textId="46DAFA0E" w:rsidR="00512A8A" w:rsidRDefault="0007113B" w:rsidP="00512A8A">
      <w:pPr>
        <w:pStyle w:val="Body-Black"/>
        <w:rPr>
          <w:lang w:eastAsia="ja-JP"/>
        </w:rPr>
      </w:pPr>
      <w:r>
        <w:rPr>
          <w:lang w:eastAsia="ja-JP"/>
        </w:rPr>
        <w:br/>
      </w:r>
      <w:r w:rsidR="00512A8A">
        <w:rPr>
          <w:lang w:eastAsia="ja-JP"/>
        </w:rPr>
        <w:t>The</w:t>
      </w:r>
      <w:r w:rsidR="00512A8A" w:rsidRPr="00B45CA1">
        <w:rPr>
          <w:lang w:eastAsia="ja-JP"/>
        </w:rPr>
        <w:t xml:space="preserve"> subject site is </w:t>
      </w:r>
      <w:r w:rsidR="00512A8A">
        <w:rPr>
          <w:lang w:eastAsia="ja-JP"/>
        </w:rPr>
        <w:t xml:space="preserve">located in </w:t>
      </w:r>
      <w:r w:rsidR="00512A8A" w:rsidRPr="00B45CA1">
        <w:rPr>
          <w:lang w:eastAsia="ja-JP"/>
        </w:rPr>
        <w:t xml:space="preserve">the </w:t>
      </w:r>
      <w:r w:rsidR="00512A8A">
        <w:rPr>
          <w:lang w:eastAsia="ja-JP"/>
        </w:rPr>
        <w:t xml:space="preserve">Georges River North (Moore Point) precinct, defined as being all lots bounded by Newbridge Road to the south, the Georges River to the east and north, and Haigh Park, Lake Moore and McMillan Park to the north and west. </w:t>
      </w:r>
      <w:r w:rsidR="00512A8A" w:rsidRPr="004447F6">
        <w:rPr>
          <w:lang w:eastAsia="ja-JP"/>
        </w:rPr>
        <w:t xml:space="preserve">The primary access </w:t>
      </w:r>
      <w:r w:rsidR="00512A8A">
        <w:rPr>
          <w:lang w:eastAsia="ja-JP"/>
        </w:rPr>
        <w:t xml:space="preserve">to the site </w:t>
      </w:r>
      <w:r w:rsidR="00512A8A" w:rsidRPr="004447F6">
        <w:rPr>
          <w:lang w:eastAsia="ja-JP"/>
        </w:rPr>
        <w:t>is via Newbridge Road.</w:t>
      </w:r>
    </w:p>
    <w:p w14:paraId="39667F49" w14:textId="77777777" w:rsidR="00512A8A" w:rsidRDefault="00512A8A" w:rsidP="00512A8A">
      <w:pPr>
        <w:jc w:val="both"/>
        <w:rPr>
          <w:rFonts w:cs="Arial"/>
        </w:rPr>
      </w:pPr>
    </w:p>
    <w:p w14:paraId="2C2DF90D" w14:textId="77777777" w:rsidR="00512A8A" w:rsidRDefault="00512A8A" w:rsidP="00512A8A">
      <w:pPr>
        <w:pStyle w:val="ListParagraph"/>
        <w:ind w:left="0"/>
        <w:jc w:val="both"/>
        <w:rPr>
          <w:rFonts w:cs="Arial"/>
          <w:bCs/>
        </w:rPr>
      </w:pPr>
      <w:r>
        <w:rPr>
          <w:noProof/>
        </w:rPr>
        <w:drawing>
          <wp:inline distT="0" distB="0" distL="0" distR="0" wp14:anchorId="3B4F7279" wp14:editId="71E75E86">
            <wp:extent cx="5939790" cy="421482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39790" cy="4214825"/>
                    </a:xfrm>
                    <a:prstGeom prst="rect">
                      <a:avLst/>
                    </a:prstGeom>
                  </pic:spPr>
                </pic:pic>
              </a:graphicData>
            </a:graphic>
          </wp:inline>
        </w:drawing>
      </w:r>
    </w:p>
    <w:p w14:paraId="7AB81FEA" w14:textId="77777777" w:rsidR="00512A8A" w:rsidRPr="00A37760" w:rsidRDefault="00512A8A" w:rsidP="00512A8A">
      <w:pPr>
        <w:jc w:val="both"/>
        <w:rPr>
          <w:rFonts w:cs="Arial"/>
          <w:b/>
          <w:sz w:val="20"/>
          <w:szCs w:val="20"/>
        </w:rPr>
      </w:pPr>
      <w:r w:rsidRPr="00A37760">
        <w:rPr>
          <w:rFonts w:cs="Arial"/>
          <w:b/>
          <w:sz w:val="20"/>
          <w:szCs w:val="20"/>
        </w:rPr>
        <w:t xml:space="preserve">Figure 1: Aerial view of the </w:t>
      </w:r>
      <w:r>
        <w:rPr>
          <w:rFonts w:cs="Arial"/>
          <w:b/>
          <w:sz w:val="20"/>
          <w:szCs w:val="20"/>
        </w:rPr>
        <w:t>Georges River North</w:t>
      </w:r>
      <w:r w:rsidRPr="00A37760">
        <w:rPr>
          <w:rFonts w:cs="Arial"/>
          <w:b/>
          <w:sz w:val="20"/>
          <w:szCs w:val="20"/>
        </w:rPr>
        <w:t xml:space="preserve"> precinct</w:t>
      </w:r>
    </w:p>
    <w:p w14:paraId="04AD5D0E" w14:textId="77777777" w:rsidR="00512A8A" w:rsidRPr="00A37760" w:rsidRDefault="00512A8A" w:rsidP="00512A8A">
      <w:pPr>
        <w:jc w:val="both"/>
        <w:rPr>
          <w:rFonts w:cs="Arial"/>
          <w:sz w:val="20"/>
          <w:szCs w:val="20"/>
        </w:rPr>
      </w:pPr>
      <w:r>
        <w:rPr>
          <w:rFonts w:cs="Arial"/>
          <w:sz w:val="20"/>
          <w:szCs w:val="20"/>
        </w:rPr>
        <w:t>Source: Nearmap 03 August 2020</w:t>
      </w:r>
    </w:p>
    <w:p w14:paraId="66709969" w14:textId="5AF90A45" w:rsidR="00306D23" w:rsidRDefault="00512A8A" w:rsidP="00306D23">
      <w:pPr>
        <w:pStyle w:val="Body-Black"/>
        <w:rPr>
          <w:lang w:eastAsia="ja-JP"/>
        </w:rPr>
      </w:pPr>
      <w:r>
        <w:rPr>
          <w:lang w:eastAsia="ja-JP"/>
        </w:rPr>
        <w:lastRenderedPageBreak/>
        <w:t>The planning proposal only seeks changes to those lots owned by a Joint Landowner Group (JLG) comprising Leamac Property Group and Coronation Property.</w:t>
      </w:r>
    </w:p>
    <w:p w14:paraId="0472F9E9" w14:textId="3187B579" w:rsidR="009D1949" w:rsidRPr="009D1949" w:rsidRDefault="009D1949" w:rsidP="009D1949">
      <w:pPr>
        <w:pStyle w:val="Body-Black"/>
        <w:rPr>
          <w:lang w:eastAsia="ja-JP"/>
        </w:rPr>
      </w:pPr>
      <w:r w:rsidRPr="009D1949">
        <w:rPr>
          <w:lang w:eastAsia="ja-JP"/>
        </w:rPr>
        <w:t>The Georges River North precinct is situated within the broader Liverpool Collaboration Area, as defined by Objective 5 of Section 3 of the Greater Sydney Regional Plan, A Metropolis of 3 Cities. The Collaboration Area includes Liverpool’s Central Business District (CBD), the health and education precinct and nearby residential and industrial land areas.</w:t>
      </w:r>
    </w:p>
    <w:p w14:paraId="32850E1A" w14:textId="4D55DA97" w:rsidR="009D1949" w:rsidRPr="009D1949" w:rsidRDefault="009D1949" w:rsidP="009D1949">
      <w:pPr>
        <w:pStyle w:val="Body-Black"/>
        <w:rPr>
          <w:lang w:eastAsia="ja-JP"/>
        </w:rPr>
      </w:pPr>
      <w:r w:rsidRPr="009D1949">
        <w:rPr>
          <w:lang w:eastAsia="ja-JP"/>
        </w:rPr>
        <w:t xml:space="preserve">The Georges River North precinct is bordered by IN1 General Industrial zoned land to the south of Newbridge Road Street and R2 Low Density Residential to the west. </w:t>
      </w:r>
    </w:p>
    <w:p w14:paraId="40F9A9DC" w14:textId="2BF97FEB" w:rsidR="009D1949" w:rsidRPr="009D1949" w:rsidRDefault="009D1949" w:rsidP="009D1949">
      <w:pPr>
        <w:pStyle w:val="Body-Black"/>
        <w:rPr>
          <w:lang w:eastAsia="ja-JP"/>
        </w:rPr>
      </w:pPr>
      <w:r w:rsidRPr="009D1949">
        <w:rPr>
          <w:lang w:eastAsia="ja-JP"/>
        </w:rPr>
        <w:t>To the north of the Georges River North precinct, separated by the Georges River, is Liverpool Hospital and the Scrivener Street industrial area. The Liverpool Water Recycling Plant, owned by Sydney Water, is located to the north-east of the precinct.</w:t>
      </w:r>
    </w:p>
    <w:p w14:paraId="44F63AE2" w14:textId="675FFEF9" w:rsidR="009D1949" w:rsidRDefault="009D1949" w:rsidP="009D1949">
      <w:pPr>
        <w:pStyle w:val="Body-Black"/>
        <w:rPr>
          <w:lang w:eastAsia="ja-JP"/>
        </w:rPr>
      </w:pPr>
      <w:r w:rsidRPr="009D1949">
        <w:rPr>
          <w:lang w:eastAsia="ja-JP"/>
        </w:rPr>
        <w:t xml:space="preserve">To the east of the subject site is the Liverpool railway station, providing frequent services west to Leppington and east to Sydney City via Granville and north to Parramatta. To the east of the Liverpool railway station is Liverpool city centre with an abundance of employment-zoned land (B3 Commercial Core and B4 Mixed Use), schools and other educational institutions (University of Wollongong, University of Western Sydney and Liverpool TAFE), health facilities including Liverpool Hospital and retail premises including Liverpool Westfield. Figure 3 below outlines the precincts of the Collaboration Area. </w:t>
      </w:r>
    </w:p>
    <w:p w14:paraId="68C5971B" w14:textId="78E546E7" w:rsidR="00BE5A3F" w:rsidRPr="009D1949" w:rsidRDefault="00BE5A3F" w:rsidP="009D1949">
      <w:pPr>
        <w:pStyle w:val="Body-Black"/>
        <w:rPr>
          <w:lang w:eastAsia="ja-JP"/>
        </w:rPr>
      </w:pPr>
      <w:r w:rsidRPr="00BE5A3F">
        <w:rPr>
          <w:noProof/>
        </w:rPr>
        <w:drawing>
          <wp:inline distT="0" distB="0" distL="0" distR="0" wp14:anchorId="0EDDF33F" wp14:editId="73C97DF1">
            <wp:extent cx="5191125" cy="374984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92288" cy="3750689"/>
                    </a:xfrm>
                    <a:prstGeom prst="rect">
                      <a:avLst/>
                    </a:prstGeom>
                  </pic:spPr>
                </pic:pic>
              </a:graphicData>
            </a:graphic>
          </wp:inline>
        </w:drawing>
      </w:r>
    </w:p>
    <w:p w14:paraId="65FA578E" w14:textId="7CA193BD" w:rsidR="00BE5A3F" w:rsidRPr="0012145E" w:rsidRDefault="00BE5A3F" w:rsidP="00BE5A3F">
      <w:pPr>
        <w:rPr>
          <w:rFonts w:cs="Arial"/>
          <w:bCs/>
          <w:sz w:val="20"/>
          <w:szCs w:val="20"/>
        </w:rPr>
      </w:pPr>
      <w:r w:rsidRPr="009D1949">
        <w:rPr>
          <w:rFonts w:cs="Arial"/>
          <w:b/>
          <w:sz w:val="20"/>
          <w:szCs w:val="20"/>
        </w:rPr>
        <w:t>Figure</w:t>
      </w:r>
      <w:r>
        <w:rPr>
          <w:rFonts w:cs="Arial"/>
          <w:b/>
          <w:sz w:val="20"/>
          <w:szCs w:val="20"/>
        </w:rPr>
        <w:t xml:space="preserve"> 2</w:t>
      </w:r>
      <w:r w:rsidRPr="009D1949">
        <w:rPr>
          <w:rFonts w:cs="Arial"/>
          <w:b/>
          <w:sz w:val="20"/>
          <w:szCs w:val="20"/>
        </w:rPr>
        <w:t xml:space="preserve">: </w:t>
      </w:r>
      <w:r>
        <w:rPr>
          <w:rFonts w:cs="Arial"/>
          <w:b/>
          <w:sz w:val="20"/>
          <w:szCs w:val="20"/>
        </w:rPr>
        <w:t>Current zoning</w:t>
      </w:r>
      <w:r w:rsidR="0012145E">
        <w:rPr>
          <w:rFonts w:cs="Arial"/>
          <w:b/>
          <w:sz w:val="20"/>
          <w:szCs w:val="20"/>
        </w:rPr>
        <w:t xml:space="preserve"> of area and surrounds</w:t>
      </w:r>
      <w:r>
        <w:rPr>
          <w:rFonts w:cs="Arial"/>
          <w:b/>
          <w:sz w:val="20"/>
          <w:szCs w:val="20"/>
        </w:rPr>
        <w:br/>
      </w:r>
      <w:r w:rsidR="0012145E">
        <w:rPr>
          <w:rFonts w:cs="Arial"/>
          <w:bCs/>
          <w:sz w:val="20"/>
          <w:szCs w:val="20"/>
        </w:rPr>
        <w:t>Source: Liverpool City Council</w:t>
      </w:r>
    </w:p>
    <w:p w14:paraId="353DC166" w14:textId="77777777" w:rsidR="009D1949" w:rsidRPr="006D7E9A" w:rsidRDefault="009D1949" w:rsidP="009D1949">
      <w:pPr>
        <w:jc w:val="both"/>
        <w:rPr>
          <w:rFonts w:ascii="Arial" w:hAnsi="Arial" w:cs="Arial"/>
        </w:rPr>
      </w:pPr>
    </w:p>
    <w:p w14:paraId="1D3142F8" w14:textId="77777777" w:rsidR="009D1949" w:rsidRDefault="009D1949" w:rsidP="009D1949">
      <w:pPr>
        <w:jc w:val="both"/>
        <w:rPr>
          <w:rFonts w:ascii="Arial" w:hAnsi="Arial" w:cs="Arial"/>
          <w:b/>
        </w:rPr>
      </w:pPr>
      <w:r>
        <w:rPr>
          <w:noProof/>
        </w:rPr>
        <w:lastRenderedPageBreak/>
        <w:drawing>
          <wp:inline distT="0" distB="0" distL="0" distR="0" wp14:anchorId="3D2119DC" wp14:editId="39E9DF0B">
            <wp:extent cx="4257675" cy="573051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78471" cy="5758499"/>
                    </a:xfrm>
                    <a:prstGeom prst="rect">
                      <a:avLst/>
                    </a:prstGeom>
                  </pic:spPr>
                </pic:pic>
              </a:graphicData>
            </a:graphic>
          </wp:inline>
        </w:drawing>
      </w:r>
    </w:p>
    <w:p w14:paraId="175067EF" w14:textId="119B7979" w:rsidR="009D1949" w:rsidRPr="009D1949" w:rsidRDefault="009D1949" w:rsidP="009D1949">
      <w:pPr>
        <w:rPr>
          <w:rFonts w:cs="Arial"/>
          <w:b/>
          <w:sz w:val="20"/>
          <w:szCs w:val="20"/>
        </w:rPr>
      </w:pPr>
      <w:r w:rsidRPr="009D1949">
        <w:rPr>
          <w:rFonts w:cs="Arial"/>
          <w:b/>
          <w:sz w:val="20"/>
          <w:szCs w:val="20"/>
        </w:rPr>
        <w:t>Figure</w:t>
      </w:r>
      <w:r w:rsidR="00BE5A3F">
        <w:rPr>
          <w:rFonts w:cs="Arial"/>
          <w:b/>
          <w:sz w:val="20"/>
          <w:szCs w:val="20"/>
        </w:rPr>
        <w:t xml:space="preserve"> 3</w:t>
      </w:r>
      <w:r w:rsidRPr="009D1949">
        <w:rPr>
          <w:rFonts w:cs="Arial"/>
          <w:b/>
          <w:sz w:val="20"/>
          <w:szCs w:val="20"/>
        </w:rPr>
        <w:t>: Liverpool Collaboration Area</w:t>
      </w:r>
      <w:r>
        <w:rPr>
          <w:rFonts w:cs="Arial"/>
          <w:b/>
          <w:sz w:val="20"/>
          <w:szCs w:val="20"/>
        </w:rPr>
        <w:br/>
      </w:r>
      <w:r w:rsidRPr="009D1949">
        <w:rPr>
          <w:rFonts w:cs="Arial"/>
          <w:sz w:val="20"/>
          <w:szCs w:val="20"/>
        </w:rPr>
        <w:t>NB: The subject site is depicted as “10 Georges River North”</w:t>
      </w:r>
    </w:p>
    <w:p w14:paraId="7370B403" w14:textId="27F28D63" w:rsidR="009D1949" w:rsidRDefault="009D1949" w:rsidP="007C1DF4">
      <w:pPr>
        <w:jc w:val="both"/>
        <w:rPr>
          <w:rFonts w:cs="Arial"/>
          <w:i/>
          <w:iCs/>
          <w:sz w:val="20"/>
          <w:szCs w:val="20"/>
        </w:rPr>
      </w:pPr>
      <w:r w:rsidRPr="009D1949">
        <w:rPr>
          <w:rFonts w:cs="Arial"/>
          <w:i/>
          <w:iCs/>
          <w:sz w:val="20"/>
          <w:szCs w:val="20"/>
        </w:rPr>
        <w:t>Source: Liverpool Collaboration Area Place Strategy, Greater Sydney Commission, 2018</w:t>
      </w:r>
    </w:p>
    <w:p w14:paraId="1F26D27A" w14:textId="77777777" w:rsidR="007C1DF4" w:rsidRPr="007C1DF4" w:rsidRDefault="007C1DF4" w:rsidP="007C1DF4">
      <w:pPr>
        <w:jc w:val="both"/>
        <w:rPr>
          <w:rFonts w:cs="Arial"/>
          <w:i/>
          <w:iCs/>
          <w:sz w:val="20"/>
          <w:szCs w:val="20"/>
        </w:rPr>
      </w:pPr>
    </w:p>
    <w:p w14:paraId="2D530A4C" w14:textId="73AF397D" w:rsidR="00DA3931" w:rsidRDefault="00DA3931" w:rsidP="00315EFE">
      <w:pPr>
        <w:pStyle w:val="Sub-Heading1-Purple"/>
        <w:rPr>
          <w:lang w:eastAsia="ja-JP"/>
        </w:rPr>
      </w:pPr>
      <w:bookmarkStart w:id="9" w:name="_Toc59014413"/>
      <w:r>
        <w:rPr>
          <w:lang w:eastAsia="ja-JP"/>
        </w:rPr>
        <w:t>Site Description</w:t>
      </w:r>
      <w:bookmarkEnd w:id="9"/>
    </w:p>
    <w:bookmarkEnd w:id="7"/>
    <w:p w14:paraId="350475FA" w14:textId="41A6756B" w:rsidR="000D404F" w:rsidRDefault="009262F6" w:rsidP="009262F6">
      <w:pPr>
        <w:pStyle w:val="Body-Black"/>
      </w:pPr>
      <w:r>
        <w:br/>
      </w:r>
      <w:r w:rsidR="000D404F" w:rsidRPr="00B672A9">
        <w:t xml:space="preserve">The site is </w:t>
      </w:r>
      <w:r w:rsidR="00D60F7D">
        <w:t xml:space="preserve">bounded by the Georges River and Lake Moore </w:t>
      </w:r>
      <w:r w:rsidR="000D404F" w:rsidRPr="00B672A9">
        <w:t xml:space="preserve">with frontages to </w:t>
      </w:r>
      <w:r w:rsidR="00D60F7D">
        <w:t>Newbridge Road</w:t>
      </w:r>
      <w:r w:rsidR="000D404F" w:rsidRPr="00B672A9">
        <w:t xml:space="preserve">. The site covers an area of </w:t>
      </w:r>
      <w:r w:rsidR="00D60F7D">
        <w:t>approximately 32 hectares</w:t>
      </w:r>
      <w:r w:rsidR="00934534">
        <w:t xml:space="preserve"> and</w:t>
      </w:r>
      <w:r w:rsidR="000D404F" w:rsidRPr="00B672A9">
        <w:t xml:space="preserve"> has a street frontage of approximately </w:t>
      </w:r>
      <w:r w:rsidR="00934534">
        <w:t xml:space="preserve">one kilometre to Newbridge Road, </w:t>
      </w:r>
      <w:r w:rsidR="00934534" w:rsidRPr="00934534">
        <w:t>a frontage to the Georges River Foreshore of approximately 920 metres</w:t>
      </w:r>
      <w:r w:rsidR="00934534">
        <w:t>, and</w:t>
      </w:r>
      <w:r w:rsidR="00934534" w:rsidRPr="00934534">
        <w:t xml:space="preserve"> a 230</w:t>
      </w:r>
      <w:r w:rsidR="00934534">
        <w:t>-</w:t>
      </w:r>
      <w:r w:rsidR="00934534" w:rsidRPr="00934534">
        <w:t>metre frontage to Haigh Park to the east.</w:t>
      </w:r>
      <w:r w:rsidR="00934534">
        <w:t xml:space="preserve"> </w:t>
      </w:r>
      <w:r w:rsidR="000D404F" w:rsidRPr="00D61FC6">
        <w:t xml:space="preserve">The </w:t>
      </w:r>
      <w:r w:rsidR="000568FE">
        <w:t>s</w:t>
      </w:r>
      <w:r w:rsidR="000D404F" w:rsidRPr="00D61FC6">
        <w:t xml:space="preserve">ite currently </w:t>
      </w:r>
      <w:r w:rsidR="0087521B">
        <w:t>contains multiple industrial warehouses and business premises of various ages across multiple lots along Newbridge Road and Bridges Road. Some lots are largely vacant and contain only minor structures or recently completed roadworks.</w:t>
      </w:r>
      <w:r w:rsidR="00977E67">
        <w:t xml:space="preserve"> </w:t>
      </w:r>
    </w:p>
    <w:p w14:paraId="5678597F" w14:textId="4E678430" w:rsidR="001D082F" w:rsidRDefault="00B71C42" w:rsidP="00AA5FFA">
      <w:pPr>
        <w:pStyle w:val="Sub-Heading1-Purple"/>
        <w:rPr>
          <w:lang w:eastAsia="ja-JP"/>
        </w:rPr>
      </w:pPr>
      <w:bookmarkStart w:id="10" w:name="_Toc59014414"/>
      <w:r>
        <w:rPr>
          <w:lang w:eastAsia="ja-JP"/>
        </w:rPr>
        <w:lastRenderedPageBreak/>
        <w:t>C</w:t>
      </w:r>
      <w:r w:rsidR="00AA5FFA">
        <w:rPr>
          <w:lang w:eastAsia="ja-JP"/>
        </w:rPr>
        <w:t>ontext</w:t>
      </w:r>
      <w:bookmarkEnd w:id="10"/>
    </w:p>
    <w:p w14:paraId="13723D7C" w14:textId="77777777" w:rsidR="001133A9" w:rsidRDefault="001133A9" w:rsidP="00685D9F">
      <w:pPr>
        <w:pStyle w:val="Body-Black"/>
        <w:spacing w:after="0"/>
        <w:rPr>
          <w:lang w:eastAsia="ja-JP"/>
        </w:rPr>
      </w:pPr>
    </w:p>
    <w:p w14:paraId="5D4C75AD" w14:textId="1363A872" w:rsidR="004C2B5D" w:rsidRDefault="004C2B5D" w:rsidP="004C2B5D">
      <w:pPr>
        <w:pStyle w:val="Body-Black"/>
      </w:pPr>
      <w:r>
        <w:t xml:space="preserve">The site is located east of Liverpool CBD on the opposite side of the Georges River and </w:t>
      </w:r>
      <w:r w:rsidR="00C713A8">
        <w:t>n</w:t>
      </w:r>
      <w:r>
        <w:t>orth of Newbridge Road. It provides a site area of approximately 32 hectares across the joint landholdings and 38.5 hectares across the entire precinct, with most lots developed with single storey industrial warehouses and associated facilities.</w:t>
      </w:r>
    </w:p>
    <w:p w14:paraId="594B4B82" w14:textId="77777777" w:rsidR="004C2B5D" w:rsidRDefault="004C2B5D" w:rsidP="004C2B5D">
      <w:pPr>
        <w:pStyle w:val="Body-Black"/>
      </w:pPr>
      <w:r>
        <w:t xml:space="preserve">The site is at the confluence of a CBD, transport interchange and health services. It is located directly across the river from Liverpool CBD, Liverpool Train Station and Bus Interchange and Liverpool Innovation Precinct. </w:t>
      </w:r>
    </w:p>
    <w:p w14:paraId="389C9604" w14:textId="0AAB828B" w:rsidR="004C2B5D" w:rsidRDefault="004C2B5D" w:rsidP="004C2B5D">
      <w:pPr>
        <w:pStyle w:val="Body-Black"/>
      </w:pPr>
      <w:r>
        <w:t xml:space="preserve">Figure </w:t>
      </w:r>
      <w:r w:rsidR="0045382F">
        <w:t>4</w:t>
      </w:r>
      <w:r>
        <w:t xml:space="preserve"> below depicts land owned by Coronation Property (blue) and Leamac Property Group (yellow). Land filled purple are owned by other landowners, who are not subject to the Planning Proposal, however, are included as part of the study area to represent a holistic precinct-wide planning outcome for the area. </w:t>
      </w:r>
    </w:p>
    <w:p w14:paraId="6A33DE7C" w14:textId="77777777" w:rsidR="004C2B5D" w:rsidRDefault="004C2B5D" w:rsidP="004C2B5D">
      <w:pPr>
        <w:pStyle w:val="Body-Black"/>
      </w:pPr>
      <w:r>
        <w:t xml:space="preserve">The Planning Proposal pertains to the area of land owned only by Coronation Property and Leamac Property Group. </w:t>
      </w:r>
    </w:p>
    <w:p w14:paraId="62EB1C60" w14:textId="0819B15E" w:rsidR="004C2B5D" w:rsidRDefault="004C2B5D" w:rsidP="004C2B5D">
      <w:pPr>
        <w:pStyle w:val="Body-Black"/>
      </w:pPr>
      <w:r>
        <w:t xml:space="preserve"> </w:t>
      </w:r>
      <w:r w:rsidR="007A1CA0" w:rsidRPr="00EB4017">
        <w:rPr>
          <w:noProof/>
        </w:rPr>
        <w:drawing>
          <wp:inline distT="0" distB="0" distL="0" distR="0" wp14:anchorId="5CB620E3" wp14:editId="52189814">
            <wp:extent cx="4320000" cy="3101955"/>
            <wp:effectExtent l="12700" t="12700" r="1079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3-17 at 2.03.38 pm.png"/>
                    <pic:cNvPicPr/>
                  </pic:nvPicPr>
                  <pic:blipFill>
                    <a:blip r:embed="rId20"/>
                    <a:stretch>
                      <a:fillRect/>
                    </a:stretch>
                  </pic:blipFill>
                  <pic:spPr>
                    <a:xfrm>
                      <a:off x="0" y="0"/>
                      <a:ext cx="4320000" cy="3101955"/>
                    </a:xfrm>
                    <a:prstGeom prst="rect">
                      <a:avLst/>
                    </a:prstGeom>
                    <a:ln>
                      <a:solidFill>
                        <a:schemeClr val="bg1">
                          <a:lumMod val="85000"/>
                        </a:schemeClr>
                      </a:solidFill>
                    </a:ln>
                  </pic:spPr>
                </pic:pic>
              </a:graphicData>
            </a:graphic>
          </wp:inline>
        </w:drawing>
      </w:r>
    </w:p>
    <w:p w14:paraId="70AC8D34" w14:textId="6BC89940" w:rsidR="004C2B5D" w:rsidRPr="007A1CA0" w:rsidRDefault="004C2B5D" w:rsidP="007A1CA0">
      <w:pPr>
        <w:rPr>
          <w:rFonts w:cs="Arial"/>
          <w:b/>
          <w:sz w:val="20"/>
          <w:szCs w:val="20"/>
        </w:rPr>
      </w:pPr>
      <w:r w:rsidRPr="007A1CA0">
        <w:rPr>
          <w:rFonts w:cs="Arial"/>
          <w:b/>
          <w:sz w:val="20"/>
          <w:szCs w:val="20"/>
        </w:rPr>
        <w:t xml:space="preserve">Figure </w:t>
      </w:r>
      <w:r w:rsidR="0045382F">
        <w:rPr>
          <w:rFonts w:cs="Arial"/>
          <w:b/>
          <w:sz w:val="20"/>
          <w:szCs w:val="20"/>
        </w:rPr>
        <w:t>4</w:t>
      </w:r>
      <w:r w:rsidRPr="007A1CA0">
        <w:rPr>
          <w:rFonts w:cs="Arial"/>
          <w:b/>
          <w:sz w:val="20"/>
          <w:szCs w:val="20"/>
        </w:rPr>
        <w:t>: Subject Site (Source: SJB)</w:t>
      </w:r>
    </w:p>
    <w:p w14:paraId="7F39EA54" w14:textId="2004241F" w:rsidR="007D78AD" w:rsidRDefault="004C2B5D" w:rsidP="004C2B5D">
      <w:pPr>
        <w:pStyle w:val="Body-Black"/>
      </w:pPr>
      <w:r>
        <w:t>The site is currently zoned IN2 Light Industrial under LLEP 2008 however, with the release of the GSC Place Strategy and Council’s LSPS advancing a mixed use vision for the site, the current built form and use no longer reflects the desired future character of the area as Liverpool seeks to reorient itself to the Georges River.</w:t>
      </w:r>
      <w:r w:rsidR="00A115BB">
        <w:t xml:space="preserve"> </w:t>
      </w:r>
      <w:r w:rsidR="007D78AD" w:rsidRPr="00835B2F">
        <w:t>The site is located within 200m radius of Liverpool Train Station and Bus Interchange.</w:t>
      </w:r>
    </w:p>
    <w:p w14:paraId="43FF72C3" w14:textId="39D64BAA" w:rsidR="007C1DF4" w:rsidRPr="007C1DF4" w:rsidRDefault="007C1DF4" w:rsidP="007C1DF4">
      <w:pPr>
        <w:pStyle w:val="Body-Black"/>
        <w:rPr>
          <w:bCs/>
          <w:lang w:bidi="en-US"/>
        </w:rPr>
      </w:pPr>
      <w:r w:rsidRPr="007C1DF4">
        <w:rPr>
          <w:bCs/>
          <w:lang w:bidi="en-US"/>
        </w:rPr>
        <w:t xml:space="preserve">Under the </w:t>
      </w:r>
      <w:r>
        <w:rPr>
          <w:bCs/>
          <w:lang w:bidi="en-US"/>
        </w:rPr>
        <w:t xml:space="preserve">Liverpool Collaboration Area </w:t>
      </w:r>
      <w:r w:rsidRPr="007C1DF4">
        <w:rPr>
          <w:bCs/>
          <w:lang w:bidi="en-US"/>
        </w:rPr>
        <w:t>Place Strategy, the site is identified as</w:t>
      </w:r>
      <w:r>
        <w:rPr>
          <w:bCs/>
          <w:lang w:bidi="en-US"/>
        </w:rPr>
        <w:t xml:space="preserve"> future</w:t>
      </w:r>
      <w:r w:rsidRPr="007C1DF4">
        <w:rPr>
          <w:bCs/>
          <w:lang w:bidi="en-US"/>
        </w:rPr>
        <w:t xml:space="preserve"> ‘mixed use’ and within the Georges River North Precinct, which aims to provide a mixture of retail, residential and community uses that provide sustainable employment that is not in competition with the commercial core. </w:t>
      </w:r>
    </w:p>
    <w:p w14:paraId="39E269F3" w14:textId="77777777" w:rsidR="007C1DF4" w:rsidRDefault="007C1DF4" w:rsidP="007C1DF4">
      <w:pPr>
        <w:pStyle w:val="Meconetext"/>
      </w:pPr>
      <w:r w:rsidRPr="008346EE">
        <w:rPr>
          <w:noProof/>
        </w:rPr>
        <w:lastRenderedPageBreak/>
        <w:drawing>
          <wp:inline distT="0" distB="0" distL="0" distR="0" wp14:anchorId="39C37ED3" wp14:editId="1BE5484F">
            <wp:extent cx="4320000" cy="3233302"/>
            <wp:effectExtent l="12700" t="12700" r="10795" b="184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8-05-11 at 11.43.45 am.png"/>
                    <pic:cNvPicPr/>
                  </pic:nvPicPr>
                  <pic:blipFill rotWithShape="1">
                    <a:blip r:embed="rId21"/>
                    <a:srcRect t="3672" b="6790"/>
                    <a:stretch/>
                  </pic:blipFill>
                  <pic:spPr bwMode="auto">
                    <a:xfrm>
                      <a:off x="0" y="0"/>
                      <a:ext cx="4320000" cy="3233302"/>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r>
        <w:t xml:space="preserve"> </w:t>
      </w:r>
    </w:p>
    <w:p w14:paraId="02AF9C44" w14:textId="0B22F7A2" w:rsidR="007C1DF4" w:rsidRPr="007C1DF4" w:rsidRDefault="007C1DF4" w:rsidP="007C1DF4">
      <w:pPr>
        <w:rPr>
          <w:rFonts w:cs="Arial"/>
          <w:b/>
          <w:sz w:val="20"/>
          <w:szCs w:val="20"/>
        </w:rPr>
      </w:pPr>
      <w:bookmarkStart w:id="11" w:name="_Toc37862337"/>
      <w:r w:rsidRPr="007C1DF4">
        <w:rPr>
          <w:rFonts w:cs="Arial"/>
          <w:b/>
          <w:sz w:val="20"/>
          <w:szCs w:val="20"/>
        </w:rPr>
        <w:t xml:space="preserve">Figure </w:t>
      </w:r>
      <w:r w:rsidR="00FD1FDA">
        <w:rPr>
          <w:rFonts w:cs="Arial"/>
          <w:b/>
          <w:sz w:val="20"/>
          <w:szCs w:val="20"/>
        </w:rPr>
        <w:t>5</w:t>
      </w:r>
      <w:r w:rsidRPr="007C1DF4">
        <w:rPr>
          <w:rFonts w:cs="Arial"/>
          <w:b/>
          <w:sz w:val="20"/>
          <w:szCs w:val="20"/>
        </w:rPr>
        <w:t>: Liverpool Place Strategy (Source: Greater Sydney Commission)</w:t>
      </w:r>
      <w:bookmarkEnd w:id="11"/>
    </w:p>
    <w:p w14:paraId="1F92B610" w14:textId="644CEAC3" w:rsidR="001C6A83" w:rsidRDefault="001C6A83" w:rsidP="001C6A83">
      <w:pPr>
        <w:pStyle w:val="Sub-Heading1-Purple"/>
        <w:rPr>
          <w:lang w:eastAsia="ja-JP"/>
        </w:rPr>
      </w:pPr>
      <w:bookmarkStart w:id="12" w:name="_Toc59014415"/>
      <w:r>
        <w:rPr>
          <w:lang w:eastAsia="ja-JP"/>
        </w:rPr>
        <w:t>Adjoining Sites</w:t>
      </w:r>
      <w:bookmarkEnd w:id="12"/>
    </w:p>
    <w:p w14:paraId="6A64BA92" w14:textId="10B1DA27" w:rsidR="004F6B56" w:rsidRDefault="004531D4" w:rsidP="004F6B56">
      <w:pPr>
        <w:pStyle w:val="Body-Black"/>
        <w:rPr>
          <w:bCs/>
          <w:lang w:bidi="en-US"/>
        </w:rPr>
      </w:pPr>
      <w:r>
        <w:br/>
      </w:r>
      <w:r w:rsidR="005A62BB">
        <w:rPr>
          <w:bCs/>
          <w:lang w:bidi="en-US"/>
        </w:rPr>
        <w:t>The site is bounded by the Georges River, Lake Moore</w:t>
      </w:r>
      <w:r w:rsidR="007C1DF4">
        <w:rPr>
          <w:bCs/>
          <w:lang w:bidi="en-US"/>
        </w:rPr>
        <w:t>, Haigh Park, McMillan Park</w:t>
      </w:r>
      <w:r w:rsidR="005A62BB">
        <w:rPr>
          <w:bCs/>
          <w:lang w:bidi="en-US"/>
        </w:rPr>
        <w:t xml:space="preserve"> and Newbridge Road, </w:t>
      </w:r>
      <w:r w:rsidR="004F6B56">
        <w:rPr>
          <w:bCs/>
          <w:lang w:bidi="en-US"/>
        </w:rPr>
        <w:t xml:space="preserve">and thus there is no directly adjoining sites. </w:t>
      </w:r>
    </w:p>
    <w:p w14:paraId="40F27045" w14:textId="5786B7E7" w:rsidR="005A62BB" w:rsidRPr="005A62BB" w:rsidRDefault="004F6B56" w:rsidP="004F6B56">
      <w:pPr>
        <w:pStyle w:val="Body-Black"/>
        <w:rPr>
          <w:bCs/>
          <w:lang w:bidi="en-US"/>
        </w:rPr>
      </w:pPr>
      <w:r w:rsidRPr="004F6B56">
        <w:rPr>
          <w:bCs/>
          <w:lang w:bidi="en-US"/>
        </w:rPr>
        <w:t xml:space="preserve">The site is uniquely positioned in </w:t>
      </w:r>
      <w:r w:rsidR="00C713A8">
        <w:rPr>
          <w:bCs/>
          <w:lang w:bidi="en-US"/>
        </w:rPr>
        <w:t xml:space="preserve">the </w:t>
      </w:r>
      <w:r w:rsidRPr="004F6B56">
        <w:rPr>
          <w:bCs/>
          <w:lang w:bidi="en-US"/>
        </w:rPr>
        <w:t>Liverpool Collaboration Area and provides excellent proximity to a range of infrastructure, jobs and services.</w:t>
      </w:r>
      <w:r>
        <w:rPr>
          <w:bCs/>
          <w:lang w:bidi="en-US"/>
        </w:rPr>
        <w:t xml:space="preserve"> </w:t>
      </w:r>
      <w:r w:rsidRPr="004F6B56">
        <w:rPr>
          <w:bCs/>
          <w:lang w:bidi="en-US"/>
        </w:rPr>
        <w:t>Development to the south on the opposite side of Newbridge Road is developed with a mix of low-rise industrial developments and detached residential dwellings.</w:t>
      </w:r>
      <w:r>
        <w:rPr>
          <w:bCs/>
          <w:lang w:bidi="en-US"/>
        </w:rPr>
        <w:t xml:space="preserve"> </w:t>
      </w:r>
      <w:r w:rsidRPr="004F6B56">
        <w:rPr>
          <w:bCs/>
          <w:lang w:bidi="en-US"/>
        </w:rPr>
        <w:t xml:space="preserve">Development to the west on the opposite side of the Georges River is Liverpool CBD, Train Station and Bus Interchange and Shepherd Street Precinct, which contains a mix of high-density mixed use, residential and commercial developments. </w:t>
      </w:r>
      <w:r>
        <w:rPr>
          <w:bCs/>
          <w:lang w:bidi="en-US"/>
        </w:rPr>
        <w:t xml:space="preserve"> </w:t>
      </w:r>
      <w:r w:rsidRPr="004F6B56">
        <w:rPr>
          <w:bCs/>
          <w:lang w:bidi="en-US"/>
        </w:rPr>
        <w:t>Development to the north on the opposite side of the Georges River is Liverpool Hospital and a range of educational institutions including Liverpool Boys/Girls High School and TAFE NSW Liverpool.</w:t>
      </w:r>
    </w:p>
    <w:p w14:paraId="6E984AA1" w14:textId="687905F9" w:rsidR="00C01EB0" w:rsidRDefault="00C01EB0">
      <w:pPr>
        <w:rPr>
          <w:rFonts w:ascii="Arial" w:eastAsiaTheme="majorEastAsia" w:hAnsi="Arial" w:cs="Arial"/>
          <w:b/>
          <w:bCs/>
          <w:color w:val="7030A0"/>
          <w:sz w:val="28"/>
          <w:szCs w:val="28"/>
          <w:lang w:val="en-AU" w:eastAsia="ja-JP"/>
        </w:rPr>
      </w:pPr>
    </w:p>
    <w:p w14:paraId="130B64AC" w14:textId="28DA8CE8" w:rsidR="004512C2" w:rsidRDefault="004512C2">
      <w:pPr>
        <w:rPr>
          <w:rFonts w:ascii="Arial" w:eastAsiaTheme="majorEastAsia" w:hAnsi="Arial" w:cs="Arial"/>
          <w:b/>
          <w:bCs/>
          <w:color w:val="7030A0"/>
          <w:sz w:val="28"/>
          <w:szCs w:val="28"/>
          <w:lang w:val="en-AU" w:eastAsia="ja-JP"/>
        </w:rPr>
      </w:pPr>
      <w:r>
        <w:rPr>
          <w:lang w:eastAsia="ja-JP"/>
        </w:rPr>
        <w:br w:type="page"/>
      </w:r>
    </w:p>
    <w:p w14:paraId="4B507E6E" w14:textId="221176E8" w:rsidR="00AD39B8" w:rsidRDefault="009D23AF" w:rsidP="009D23AF">
      <w:pPr>
        <w:pStyle w:val="Heading-Purple"/>
        <w:rPr>
          <w:lang w:eastAsia="ja-JP"/>
        </w:rPr>
      </w:pPr>
      <w:bookmarkStart w:id="13" w:name="_Toc59014416"/>
      <w:r>
        <w:rPr>
          <w:lang w:eastAsia="ja-JP"/>
        </w:rPr>
        <w:lastRenderedPageBreak/>
        <w:t>Statutory Planning Framework</w:t>
      </w:r>
      <w:bookmarkEnd w:id="13"/>
    </w:p>
    <w:p w14:paraId="13224D7D" w14:textId="77777777" w:rsidR="00AD39B8" w:rsidRDefault="00AD39B8" w:rsidP="009C7937">
      <w:pPr>
        <w:pStyle w:val="Body-Black"/>
        <w:spacing w:after="0"/>
        <w:rPr>
          <w:lang w:eastAsia="ja-JP"/>
        </w:rPr>
      </w:pPr>
    </w:p>
    <w:p w14:paraId="26037034" w14:textId="6E84DFB7" w:rsidR="00AD39B8" w:rsidRDefault="009D23AF" w:rsidP="009D23AF">
      <w:pPr>
        <w:pStyle w:val="Sub-Heading1-Purple"/>
        <w:rPr>
          <w:lang w:eastAsia="ja-JP"/>
        </w:rPr>
      </w:pPr>
      <w:bookmarkStart w:id="14" w:name="_Toc59014417"/>
      <w:r>
        <w:rPr>
          <w:lang w:eastAsia="ja-JP"/>
        </w:rPr>
        <w:t>Liverpool Local Environmental Plan 2008</w:t>
      </w:r>
      <w:r w:rsidR="00440326">
        <w:rPr>
          <w:lang w:eastAsia="ja-JP"/>
        </w:rPr>
        <w:t xml:space="preserve"> (LLEP 2008)</w:t>
      </w:r>
      <w:bookmarkEnd w:id="14"/>
    </w:p>
    <w:p w14:paraId="60BE783D" w14:textId="77777777" w:rsidR="009D23AF" w:rsidRDefault="009D23AF" w:rsidP="007D2DFD">
      <w:pPr>
        <w:pStyle w:val="Body-Black"/>
        <w:spacing w:after="0"/>
        <w:rPr>
          <w:lang w:eastAsia="ja-JP"/>
        </w:rPr>
      </w:pPr>
    </w:p>
    <w:p w14:paraId="4335CD7C" w14:textId="6185136B" w:rsidR="00253493" w:rsidRDefault="00253493" w:rsidP="00253493">
      <w:pPr>
        <w:pStyle w:val="Body-Black"/>
      </w:pPr>
      <w:r>
        <w:t>LLEP 2008 is the princip</w:t>
      </w:r>
      <w:r w:rsidR="00440326">
        <w:t>al</w:t>
      </w:r>
      <w:r>
        <w:t xml:space="preserve"> planning instrument guiding development in the LGA. </w:t>
      </w:r>
    </w:p>
    <w:p w14:paraId="0218F527" w14:textId="7A164899" w:rsidR="00253493" w:rsidRDefault="00253493" w:rsidP="00253493">
      <w:pPr>
        <w:pStyle w:val="Body-Black"/>
      </w:pPr>
      <w:r>
        <w:t xml:space="preserve">Moore Point was first acknowledged as a natural extension to the CBD via the introduction of the Standard Instrument Liverpool Local Environmental Plan 2008, which identifies land north of Newbridge Road and east of Bridge Road as part of the Liverpool city centre pursuant to Division 1 and as shown on the Key Sites map. </w:t>
      </w:r>
    </w:p>
    <w:p w14:paraId="12818A40" w14:textId="77777777" w:rsidR="00253493" w:rsidRDefault="00253493" w:rsidP="00253493">
      <w:pPr>
        <w:pStyle w:val="Body-Black"/>
      </w:pPr>
      <w:r>
        <w:t>From a statutory perspective, the land since 2008 has been considered part of Liverpool CBD.</w:t>
      </w:r>
    </w:p>
    <w:p w14:paraId="0EA16BC2" w14:textId="74D9E8B5" w:rsidR="00253493" w:rsidRPr="008066FD" w:rsidRDefault="00253493" w:rsidP="00253493">
      <w:pPr>
        <w:pStyle w:val="Body-Black"/>
      </w:pPr>
      <w:r w:rsidRPr="00253493">
        <w:t xml:space="preserve">Table </w:t>
      </w:r>
      <w:r w:rsidR="00FF3952">
        <w:t>1</w:t>
      </w:r>
      <w:r w:rsidRPr="008066FD">
        <w:t xml:space="preserve"> provides an overview of the key local planning controls contained in </w:t>
      </w:r>
      <w:r>
        <w:t>LLEP 2008</w:t>
      </w:r>
      <w:r w:rsidRPr="008066FD">
        <w:t xml:space="preserve"> in relation to the subject site. </w:t>
      </w:r>
    </w:p>
    <w:tbl>
      <w:tblPr>
        <w:tblW w:w="8221" w:type="dxa"/>
        <w:tblInd w:w="284" w:type="dxa"/>
        <w:tblBorders>
          <w:insideH w:val="single" w:sz="4" w:space="0" w:color="BFB59E" w:themeColor="background1" w:themeShade="D9"/>
          <w:insideV w:val="single" w:sz="4" w:space="0" w:color="BFB59E" w:themeColor="background1" w:themeShade="D9"/>
        </w:tblBorders>
        <w:tblLook w:val="00A0" w:firstRow="1" w:lastRow="0" w:firstColumn="1" w:lastColumn="0" w:noHBand="0" w:noVBand="0"/>
      </w:tblPr>
      <w:tblGrid>
        <w:gridCol w:w="3260"/>
        <w:gridCol w:w="4961"/>
      </w:tblGrid>
      <w:tr w:rsidR="00253493" w:rsidRPr="00253493" w14:paraId="2A7D54A2" w14:textId="77777777" w:rsidTr="00253493">
        <w:trPr>
          <w:trHeight w:val="426"/>
          <w:tblHeader/>
        </w:trPr>
        <w:tc>
          <w:tcPr>
            <w:tcW w:w="8221" w:type="dxa"/>
            <w:gridSpan w:val="2"/>
            <w:shd w:val="clear" w:color="auto" w:fill="7030A0"/>
          </w:tcPr>
          <w:p w14:paraId="61AFA5ED" w14:textId="77777777" w:rsidR="00253493" w:rsidRPr="00253493" w:rsidRDefault="00253493" w:rsidP="003652C9">
            <w:pPr>
              <w:pStyle w:val="MeconeTable"/>
              <w:rPr>
                <w:rFonts w:ascii="Arial" w:hAnsi="Arial"/>
                <w:b/>
                <w:bCs/>
              </w:rPr>
            </w:pPr>
            <w:bookmarkStart w:id="15" w:name="_Toc371238849"/>
            <w:bookmarkStart w:id="16" w:name="_Toc37082968"/>
            <w:r w:rsidRPr="00253493">
              <w:rPr>
                <w:rFonts w:ascii="Arial" w:hAnsi="Arial"/>
                <w:b/>
                <w:bCs/>
                <w:color w:val="D8D2C4" w:themeColor="background1"/>
              </w:rPr>
              <w:t>Liverpool Local Environmental Plan 200</w:t>
            </w:r>
            <w:bookmarkEnd w:id="15"/>
            <w:r w:rsidRPr="00253493">
              <w:rPr>
                <w:rFonts w:ascii="Arial" w:hAnsi="Arial"/>
                <w:b/>
                <w:bCs/>
                <w:color w:val="D8D2C4" w:themeColor="background1"/>
              </w:rPr>
              <w:t>8</w:t>
            </w:r>
            <w:bookmarkEnd w:id="16"/>
          </w:p>
        </w:tc>
      </w:tr>
      <w:tr w:rsidR="00253493" w:rsidRPr="00253493" w14:paraId="5AC315B2" w14:textId="77777777" w:rsidTr="003652C9">
        <w:trPr>
          <w:trHeight w:val="426"/>
          <w:tblHeader/>
        </w:trPr>
        <w:tc>
          <w:tcPr>
            <w:tcW w:w="3260" w:type="dxa"/>
            <w:shd w:val="clear" w:color="auto" w:fill="D7D7D7"/>
          </w:tcPr>
          <w:p w14:paraId="25249508" w14:textId="77777777" w:rsidR="00253493" w:rsidRPr="00253493" w:rsidRDefault="00253493" w:rsidP="003652C9">
            <w:pPr>
              <w:pStyle w:val="Table-Text"/>
              <w:rPr>
                <w:rFonts w:ascii="Arial" w:hAnsi="Arial" w:cs="Arial"/>
              </w:rPr>
            </w:pPr>
            <w:r w:rsidRPr="00253493">
              <w:rPr>
                <w:rFonts w:ascii="Arial" w:hAnsi="Arial" w:cs="Arial"/>
              </w:rPr>
              <w:t>Clause/standard</w:t>
            </w:r>
          </w:p>
        </w:tc>
        <w:tc>
          <w:tcPr>
            <w:tcW w:w="4961" w:type="dxa"/>
            <w:shd w:val="clear" w:color="auto" w:fill="D7D7D7"/>
          </w:tcPr>
          <w:p w14:paraId="07762701" w14:textId="77777777" w:rsidR="00253493" w:rsidRPr="00253493" w:rsidRDefault="00253493" w:rsidP="003652C9">
            <w:pPr>
              <w:pStyle w:val="Table-Text"/>
              <w:rPr>
                <w:rFonts w:ascii="Arial" w:hAnsi="Arial" w:cs="Arial"/>
              </w:rPr>
            </w:pPr>
            <w:r w:rsidRPr="00253493">
              <w:rPr>
                <w:rFonts w:ascii="Arial" w:hAnsi="Arial" w:cs="Arial"/>
              </w:rPr>
              <w:t>Provisions</w:t>
            </w:r>
          </w:p>
        </w:tc>
      </w:tr>
      <w:tr w:rsidR="00253493" w:rsidRPr="00253493" w14:paraId="6F0BC96B" w14:textId="77777777" w:rsidTr="003652C9">
        <w:trPr>
          <w:trHeight w:val="72"/>
        </w:trPr>
        <w:tc>
          <w:tcPr>
            <w:tcW w:w="3260" w:type="dxa"/>
          </w:tcPr>
          <w:p w14:paraId="092440AF" w14:textId="77777777" w:rsidR="00253493" w:rsidRPr="00253493" w:rsidRDefault="00253493" w:rsidP="003652C9">
            <w:pPr>
              <w:pStyle w:val="Table-Text"/>
              <w:rPr>
                <w:rFonts w:ascii="Arial" w:hAnsi="Arial" w:cs="Arial"/>
              </w:rPr>
            </w:pPr>
            <w:r w:rsidRPr="00253493">
              <w:rPr>
                <w:rFonts w:ascii="Arial" w:hAnsi="Arial" w:cs="Arial"/>
              </w:rPr>
              <w:t xml:space="preserve">Zoning </w:t>
            </w:r>
          </w:p>
        </w:tc>
        <w:tc>
          <w:tcPr>
            <w:tcW w:w="4961" w:type="dxa"/>
          </w:tcPr>
          <w:p w14:paraId="4ED22615" w14:textId="77777777" w:rsidR="00253493" w:rsidRPr="00253493" w:rsidRDefault="00253493" w:rsidP="003652C9">
            <w:pPr>
              <w:pStyle w:val="Table-Text"/>
              <w:rPr>
                <w:rFonts w:ascii="Arial" w:hAnsi="Arial" w:cs="Arial"/>
              </w:rPr>
            </w:pPr>
            <w:r w:rsidRPr="00253493">
              <w:rPr>
                <w:rFonts w:ascii="Arial" w:hAnsi="Arial" w:cs="Arial"/>
              </w:rPr>
              <w:t>IN2 Light Industrial.</w:t>
            </w:r>
          </w:p>
        </w:tc>
      </w:tr>
      <w:tr w:rsidR="00253493" w:rsidRPr="00253493" w14:paraId="01BD1400" w14:textId="77777777" w:rsidTr="003652C9">
        <w:trPr>
          <w:trHeight w:val="72"/>
        </w:trPr>
        <w:tc>
          <w:tcPr>
            <w:tcW w:w="3260" w:type="dxa"/>
          </w:tcPr>
          <w:p w14:paraId="323B0D40" w14:textId="77777777" w:rsidR="00253493" w:rsidRPr="00253493" w:rsidRDefault="00253493" w:rsidP="003652C9">
            <w:pPr>
              <w:pStyle w:val="Table-Text"/>
              <w:rPr>
                <w:rFonts w:ascii="Arial" w:hAnsi="Arial" w:cs="Arial"/>
              </w:rPr>
            </w:pPr>
            <w:r w:rsidRPr="00253493">
              <w:rPr>
                <w:rFonts w:ascii="Arial" w:hAnsi="Arial" w:cs="Arial"/>
              </w:rPr>
              <w:t xml:space="preserve">Clause 4.1 – Minimum Lot Size </w:t>
            </w:r>
          </w:p>
        </w:tc>
        <w:tc>
          <w:tcPr>
            <w:tcW w:w="4961" w:type="dxa"/>
          </w:tcPr>
          <w:p w14:paraId="1E782200" w14:textId="77777777" w:rsidR="00253493" w:rsidRPr="00253493" w:rsidRDefault="00253493" w:rsidP="003652C9">
            <w:pPr>
              <w:pStyle w:val="Table-Text"/>
              <w:rPr>
                <w:rFonts w:ascii="Arial" w:hAnsi="Arial" w:cs="Arial"/>
              </w:rPr>
            </w:pPr>
            <w:r w:rsidRPr="00253493">
              <w:rPr>
                <w:rFonts w:ascii="Arial" w:hAnsi="Arial" w:cs="Arial"/>
              </w:rPr>
              <w:t>2,000m</w:t>
            </w:r>
            <w:r w:rsidRPr="00253493">
              <w:rPr>
                <w:rFonts w:ascii="Arial" w:hAnsi="Arial" w:cs="Arial"/>
                <w:vertAlign w:val="superscript"/>
              </w:rPr>
              <w:t>2</w:t>
            </w:r>
            <w:r w:rsidRPr="00253493">
              <w:rPr>
                <w:rFonts w:ascii="Arial" w:hAnsi="Arial" w:cs="Arial"/>
              </w:rPr>
              <w:t>.</w:t>
            </w:r>
          </w:p>
        </w:tc>
      </w:tr>
      <w:tr w:rsidR="00253493" w:rsidRPr="00253493" w14:paraId="03E327A1" w14:textId="77777777" w:rsidTr="003652C9">
        <w:trPr>
          <w:trHeight w:val="72"/>
        </w:trPr>
        <w:tc>
          <w:tcPr>
            <w:tcW w:w="3260" w:type="dxa"/>
          </w:tcPr>
          <w:p w14:paraId="4DB4E7BE" w14:textId="77777777" w:rsidR="00253493" w:rsidRPr="00253493" w:rsidRDefault="00253493" w:rsidP="003652C9">
            <w:pPr>
              <w:pStyle w:val="Table-Text"/>
              <w:rPr>
                <w:rFonts w:ascii="Arial" w:hAnsi="Arial" w:cs="Arial"/>
              </w:rPr>
            </w:pPr>
            <w:r w:rsidRPr="00253493">
              <w:rPr>
                <w:rFonts w:ascii="Arial" w:hAnsi="Arial" w:cs="Arial"/>
              </w:rPr>
              <w:t xml:space="preserve">Clause 4.3 – Height of Building </w:t>
            </w:r>
          </w:p>
        </w:tc>
        <w:tc>
          <w:tcPr>
            <w:tcW w:w="4961" w:type="dxa"/>
          </w:tcPr>
          <w:p w14:paraId="302B3027" w14:textId="77777777" w:rsidR="00253493" w:rsidRPr="00253493" w:rsidRDefault="00253493" w:rsidP="003652C9">
            <w:pPr>
              <w:pStyle w:val="Table-Text"/>
              <w:rPr>
                <w:rFonts w:ascii="Arial" w:hAnsi="Arial" w:cs="Arial"/>
              </w:rPr>
            </w:pPr>
            <w:r w:rsidRPr="00253493">
              <w:rPr>
                <w:rFonts w:ascii="Arial" w:hAnsi="Arial" w:cs="Arial"/>
              </w:rPr>
              <w:t xml:space="preserve">The site has a maximum building height of 18m and 15m. </w:t>
            </w:r>
          </w:p>
        </w:tc>
      </w:tr>
      <w:tr w:rsidR="00253493" w:rsidRPr="00253493" w14:paraId="732FF4D8" w14:textId="77777777" w:rsidTr="003652C9">
        <w:trPr>
          <w:trHeight w:val="72"/>
        </w:trPr>
        <w:tc>
          <w:tcPr>
            <w:tcW w:w="3260" w:type="dxa"/>
          </w:tcPr>
          <w:p w14:paraId="3C740EB3" w14:textId="77777777" w:rsidR="00253493" w:rsidRPr="00253493" w:rsidRDefault="00253493" w:rsidP="003652C9">
            <w:pPr>
              <w:pStyle w:val="Table-Text"/>
              <w:rPr>
                <w:rFonts w:ascii="Arial" w:hAnsi="Arial" w:cs="Arial"/>
              </w:rPr>
            </w:pPr>
            <w:r w:rsidRPr="00253493">
              <w:rPr>
                <w:rFonts w:ascii="Arial" w:hAnsi="Arial" w:cs="Arial"/>
              </w:rPr>
              <w:t xml:space="preserve">Clause 4.4 – Floor Space Ratio </w:t>
            </w:r>
          </w:p>
        </w:tc>
        <w:tc>
          <w:tcPr>
            <w:tcW w:w="4961" w:type="dxa"/>
          </w:tcPr>
          <w:p w14:paraId="4B64C03E" w14:textId="77777777" w:rsidR="00253493" w:rsidRPr="00253493" w:rsidRDefault="00253493" w:rsidP="003652C9">
            <w:pPr>
              <w:pStyle w:val="Table-Text"/>
              <w:rPr>
                <w:rFonts w:ascii="Arial" w:hAnsi="Arial" w:cs="Arial"/>
              </w:rPr>
            </w:pPr>
            <w:r w:rsidRPr="00253493">
              <w:rPr>
                <w:rFonts w:ascii="Arial" w:hAnsi="Arial" w:cs="Arial"/>
              </w:rPr>
              <w:t xml:space="preserve">0.75:1 </w:t>
            </w:r>
          </w:p>
        </w:tc>
      </w:tr>
      <w:tr w:rsidR="00253493" w:rsidRPr="00253493" w14:paraId="6AC705C4" w14:textId="77777777" w:rsidTr="003652C9">
        <w:trPr>
          <w:trHeight w:val="691"/>
        </w:trPr>
        <w:tc>
          <w:tcPr>
            <w:tcW w:w="3260" w:type="dxa"/>
          </w:tcPr>
          <w:p w14:paraId="11D0F902" w14:textId="77777777" w:rsidR="00253493" w:rsidRPr="00253493" w:rsidRDefault="00253493" w:rsidP="003652C9">
            <w:pPr>
              <w:pStyle w:val="Table-Text"/>
              <w:rPr>
                <w:rFonts w:ascii="Arial" w:hAnsi="Arial" w:cs="Arial"/>
              </w:rPr>
            </w:pPr>
            <w:r w:rsidRPr="00253493">
              <w:rPr>
                <w:rFonts w:ascii="Arial" w:hAnsi="Arial" w:cs="Arial"/>
              </w:rPr>
              <w:t>Clause 5.10 – Heritage Conservation</w:t>
            </w:r>
          </w:p>
        </w:tc>
        <w:tc>
          <w:tcPr>
            <w:tcW w:w="4961" w:type="dxa"/>
          </w:tcPr>
          <w:p w14:paraId="18ED82FE" w14:textId="77777777" w:rsidR="00253493" w:rsidRPr="00253493" w:rsidRDefault="00253493" w:rsidP="003652C9">
            <w:pPr>
              <w:pStyle w:val="Table-Text"/>
              <w:rPr>
                <w:rFonts w:ascii="Arial" w:hAnsi="Arial" w:cs="Arial"/>
              </w:rPr>
            </w:pPr>
            <w:r w:rsidRPr="00253493">
              <w:rPr>
                <w:rFonts w:ascii="Arial" w:hAnsi="Arial" w:cs="Arial"/>
              </w:rPr>
              <w:t>Lot 200 DP 1009044 contains a Local Heritage Item known as – Pirelli Power Cables and Systems Building (formerly MM Cables Factory, and Cable Makers Australia Factory)</w:t>
            </w:r>
          </w:p>
        </w:tc>
      </w:tr>
      <w:tr w:rsidR="00253493" w:rsidRPr="00253493" w14:paraId="687695FD" w14:textId="77777777" w:rsidTr="003652C9">
        <w:trPr>
          <w:trHeight w:val="72"/>
        </w:trPr>
        <w:tc>
          <w:tcPr>
            <w:tcW w:w="3260" w:type="dxa"/>
          </w:tcPr>
          <w:p w14:paraId="70351295" w14:textId="77777777" w:rsidR="00253493" w:rsidRPr="00253493" w:rsidRDefault="00253493" w:rsidP="003652C9">
            <w:pPr>
              <w:pStyle w:val="Table-Text"/>
              <w:rPr>
                <w:rFonts w:ascii="Arial" w:hAnsi="Arial" w:cs="Arial"/>
              </w:rPr>
            </w:pPr>
            <w:r w:rsidRPr="00253493">
              <w:rPr>
                <w:rFonts w:ascii="Arial" w:hAnsi="Arial" w:cs="Arial"/>
              </w:rPr>
              <w:t>Clause 7.6 – Environmentally Significant Land</w:t>
            </w:r>
          </w:p>
        </w:tc>
        <w:tc>
          <w:tcPr>
            <w:tcW w:w="4961" w:type="dxa"/>
          </w:tcPr>
          <w:p w14:paraId="3F16CB00" w14:textId="77777777" w:rsidR="00253493" w:rsidRPr="00253493" w:rsidRDefault="00253493" w:rsidP="003652C9">
            <w:pPr>
              <w:pStyle w:val="Table-Text"/>
              <w:rPr>
                <w:rFonts w:ascii="Arial" w:hAnsi="Arial" w:cs="Arial"/>
              </w:rPr>
            </w:pPr>
            <w:r w:rsidRPr="00253493">
              <w:rPr>
                <w:rFonts w:ascii="Arial" w:hAnsi="Arial" w:cs="Arial"/>
              </w:rPr>
              <w:t xml:space="preserve">Part of the site contains Environmentally Significant Land (ESL), largely situated along the Georges River Foreshore and Lake Moore. </w:t>
            </w:r>
          </w:p>
        </w:tc>
      </w:tr>
      <w:tr w:rsidR="00253493" w:rsidRPr="00253493" w14:paraId="17C74819" w14:textId="77777777" w:rsidTr="003652C9">
        <w:trPr>
          <w:trHeight w:val="72"/>
        </w:trPr>
        <w:tc>
          <w:tcPr>
            <w:tcW w:w="3260" w:type="dxa"/>
          </w:tcPr>
          <w:p w14:paraId="286506B2" w14:textId="77777777" w:rsidR="00253493" w:rsidRPr="00253493" w:rsidRDefault="00253493" w:rsidP="003652C9">
            <w:pPr>
              <w:pStyle w:val="Table-Text"/>
              <w:rPr>
                <w:rFonts w:ascii="Arial" w:hAnsi="Arial" w:cs="Arial"/>
              </w:rPr>
            </w:pPr>
            <w:r w:rsidRPr="00253493">
              <w:rPr>
                <w:rFonts w:ascii="Arial" w:hAnsi="Arial" w:cs="Arial"/>
              </w:rPr>
              <w:t xml:space="preserve">Clause 7.7 – Acid Sulfate Soils </w:t>
            </w:r>
          </w:p>
        </w:tc>
        <w:tc>
          <w:tcPr>
            <w:tcW w:w="4961" w:type="dxa"/>
          </w:tcPr>
          <w:p w14:paraId="46BE90D6" w14:textId="77777777" w:rsidR="00253493" w:rsidRPr="00253493" w:rsidRDefault="00253493" w:rsidP="003652C9">
            <w:pPr>
              <w:pStyle w:val="Table-Text"/>
              <w:rPr>
                <w:rFonts w:ascii="Arial" w:hAnsi="Arial" w:cs="Arial"/>
              </w:rPr>
            </w:pPr>
            <w:r w:rsidRPr="00253493">
              <w:rPr>
                <w:rFonts w:ascii="Arial" w:hAnsi="Arial" w:cs="Arial"/>
              </w:rPr>
              <w:t xml:space="preserve">The site contains Class 5 and Class 3 Acid Sulfate Soils. </w:t>
            </w:r>
          </w:p>
        </w:tc>
      </w:tr>
      <w:tr w:rsidR="00253493" w:rsidRPr="00253493" w14:paraId="3B0164F7" w14:textId="77777777" w:rsidTr="003652C9">
        <w:trPr>
          <w:trHeight w:val="72"/>
        </w:trPr>
        <w:tc>
          <w:tcPr>
            <w:tcW w:w="3260" w:type="dxa"/>
          </w:tcPr>
          <w:p w14:paraId="53259F34" w14:textId="77777777" w:rsidR="00253493" w:rsidRPr="00253493" w:rsidRDefault="00253493" w:rsidP="003652C9">
            <w:pPr>
              <w:pStyle w:val="Table-Text"/>
              <w:rPr>
                <w:rFonts w:ascii="Arial" w:hAnsi="Arial" w:cs="Arial"/>
              </w:rPr>
            </w:pPr>
            <w:r w:rsidRPr="00253493">
              <w:rPr>
                <w:rFonts w:ascii="Arial" w:hAnsi="Arial" w:cs="Arial"/>
              </w:rPr>
              <w:t xml:space="preserve">Clause 7.8 – Flood Planning </w:t>
            </w:r>
          </w:p>
        </w:tc>
        <w:tc>
          <w:tcPr>
            <w:tcW w:w="4961" w:type="dxa"/>
          </w:tcPr>
          <w:p w14:paraId="6559699A" w14:textId="77777777" w:rsidR="00253493" w:rsidRPr="00253493" w:rsidRDefault="00253493" w:rsidP="003652C9">
            <w:pPr>
              <w:pStyle w:val="Table-Text"/>
              <w:rPr>
                <w:rFonts w:ascii="Arial" w:hAnsi="Arial" w:cs="Arial"/>
              </w:rPr>
            </w:pPr>
            <w:r w:rsidRPr="00253493">
              <w:rPr>
                <w:rFonts w:ascii="Arial" w:hAnsi="Arial" w:cs="Arial"/>
              </w:rPr>
              <w:t>The site contains land identified as High, Medium and Low Flood Risk.</w:t>
            </w:r>
          </w:p>
          <w:p w14:paraId="32351F60" w14:textId="77777777" w:rsidR="00253493" w:rsidRPr="00253493" w:rsidRDefault="00253493" w:rsidP="003652C9">
            <w:pPr>
              <w:pStyle w:val="Table-Text"/>
              <w:rPr>
                <w:rFonts w:ascii="Arial" w:hAnsi="Arial" w:cs="Arial"/>
              </w:rPr>
            </w:pPr>
            <w:r w:rsidRPr="00253493">
              <w:rPr>
                <w:rFonts w:ascii="Arial" w:hAnsi="Arial" w:cs="Arial"/>
              </w:rPr>
              <w:t xml:space="preserve">The site contains land identified as Flood Planning Area (1% AEP plus 0.5 metre freeboard). </w:t>
            </w:r>
          </w:p>
        </w:tc>
      </w:tr>
      <w:tr w:rsidR="00253493" w:rsidRPr="00253493" w14:paraId="6764D9C9" w14:textId="77777777" w:rsidTr="003652C9">
        <w:trPr>
          <w:trHeight w:val="72"/>
        </w:trPr>
        <w:tc>
          <w:tcPr>
            <w:tcW w:w="3260" w:type="dxa"/>
          </w:tcPr>
          <w:p w14:paraId="3F8B2F52" w14:textId="77777777" w:rsidR="00253493" w:rsidRPr="00253493" w:rsidRDefault="00253493" w:rsidP="003652C9">
            <w:pPr>
              <w:pStyle w:val="Table-Text"/>
              <w:rPr>
                <w:rFonts w:ascii="Arial" w:hAnsi="Arial" w:cs="Arial"/>
              </w:rPr>
            </w:pPr>
            <w:r w:rsidRPr="00253493">
              <w:rPr>
                <w:rFonts w:ascii="Arial" w:hAnsi="Arial" w:cs="Arial"/>
              </w:rPr>
              <w:t xml:space="preserve">Clause 7.9 – Foreshore Building Line </w:t>
            </w:r>
          </w:p>
        </w:tc>
        <w:tc>
          <w:tcPr>
            <w:tcW w:w="4961" w:type="dxa"/>
          </w:tcPr>
          <w:p w14:paraId="59A34397" w14:textId="77777777" w:rsidR="00253493" w:rsidRPr="00253493" w:rsidRDefault="00253493" w:rsidP="003652C9">
            <w:pPr>
              <w:pStyle w:val="Table-Text"/>
              <w:rPr>
                <w:rFonts w:ascii="Arial" w:hAnsi="Arial" w:cs="Arial"/>
              </w:rPr>
            </w:pPr>
            <w:r w:rsidRPr="00253493">
              <w:rPr>
                <w:rFonts w:ascii="Arial" w:hAnsi="Arial" w:cs="Arial"/>
              </w:rPr>
              <w:t xml:space="preserve">Lot 200-201 DP 1009044 contain land subject to foreshore building line along the Georges River Foreshore.  </w:t>
            </w:r>
          </w:p>
        </w:tc>
      </w:tr>
      <w:tr w:rsidR="00C713A8" w:rsidRPr="00253493" w14:paraId="30A0EC0A" w14:textId="77777777" w:rsidTr="003652C9">
        <w:trPr>
          <w:trHeight w:val="72"/>
        </w:trPr>
        <w:tc>
          <w:tcPr>
            <w:tcW w:w="3260" w:type="dxa"/>
          </w:tcPr>
          <w:p w14:paraId="33ED636E" w14:textId="49FD5E8E" w:rsidR="00C713A8" w:rsidRPr="00253493" w:rsidRDefault="00C713A8" w:rsidP="003652C9">
            <w:pPr>
              <w:pStyle w:val="Table-Text"/>
              <w:rPr>
                <w:rFonts w:ascii="Arial" w:hAnsi="Arial" w:cs="Arial"/>
              </w:rPr>
            </w:pPr>
            <w:r>
              <w:rPr>
                <w:rFonts w:ascii="Arial" w:hAnsi="Arial" w:cs="Arial"/>
              </w:rPr>
              <w:lastRenderedPageBreak/>
              <w:t>Clause 7.17 – Airspace operations</w:t>
            </w:r>
          </w:p>
        </w:tc>
        <w:tc>
          <w:tcPr>
            <w:tcW w:w="4961" w:type="dxa"/>
          </w:tcPr>
          <w:p w14:paraId="350C36D9" w14:textId="6F6FBE5D" w:rsidR="00C713A8" w:rsidRPr="00253493" w:rsidRDefault="00C713A8" w:rsidP="003652C9">
            <w:pPr>
              <w:pStyle w:val="Table-Text"/>
              <w:rPr>
                <w:rFonts w:ascii="Arial" w:hAnsi="Arial" w:cs="Arial"/>
              </w:rPr>
            </w:pPr>
            <w:r>
              <w:rPr>
                <w:rFonts w:ascii="Arial" w:hAnsi="Arial" w:cs="Arial"/>
              </w:rPr>
              <w:t>The site is affected by height contours for Bankstown airport</w:t>
            </w:r>
          </w:p>
        </w:tc>
      </w:tr>
      <w:tr w:rsidR="00253493" w:rsidRPr="00253493" w14:paraId="251CFADF" w14:textId="77777777" w:rsidTr="003652C9">
        <w:trPr>
          <w:trHeight w:val="72"/>
        </w:trPr>
        <w:tc>
          <w:tcPr>
            <w:tcW w:w="3260" w:type="dxa"/>
          </w:tcPr>
          <w:p w14:paraId="2303DD5F" w14:textId="77777777" w:rsidR="00253493" w:rsidRPr="00253493" w:rsidRDefault="00253493" w:rsidP="003652C9">
            <w:pPr>
              <w:pStyle w:val="Table-Text"/>
              <w:rPr>
                <w:rFonts w:ascii="Arial" w:hAnsi="Arial" w:cs="Arial"/>
              </w:rPr>
            </w:pPr>
            <w:r w:rsidRPr="00253493">
              <w:rPr>
                <w:rFonts w:ascii="Arial" w:hAnsi="Arial" w:cs="Arial"/>
              </w:rPr>
              <w:t>Division 1 Liverpool City Centre</w:t>
            </w:r>
          </w:p>
        </w:tc>
        <w:tc>
          <w:tcPr>
            <w:tcW w:w="4961" w:type="dxa"/>
          </w:tcPr>
          <w:p w14:paraId="665047D2" w14:textId="77777777" w:rsidR="00253493" w:rsidRPr="00253493" w:rsidRDefault="00253493" w:rsidP="003652C9">
            <w:pPr>
              <w:pStyle w:val="Table-Text"/>
              <w:rPr>
                <w:rFonts w:ascii="Arial" w:hAnsi="Arial" w:cs="Arial"/>
              </w:rPr>
            </w:pPr>
            <w:r w:rsidRPr="00253493">
              <w:rPr>
                <w:rFonts w:ascii="Arial" w:hAnsi="Arial" w:cs="Arial"/>
              </w:rPr>
              <w:t xml:space="preserve">The site is located within the Liverpool City Centre Boundary as shown on the key sites map however, no lots within the site are identified as having site specific provisions. </w:t>
            </w:r>
          </w:p>
          <w:p w14:paraId="30E039FA" w14:textId="77777777" w:rsidR="00253493" w:rsidRPr="00253493" w:rsidRDefault="00253493" w:rsidP="003652C9">
            <w:pPr>
              <w:pStyle w:val="Table-Text"/>
              <w:rPr>
                <w:rFonts w:ascii="Arial" w:hAnsi="Arial" w:cs="Arial"/>
              </w:rPr>
            </w:pPr>
            <w:r w:rsidRPr="00253493">
              <w:rPr>
                <w:rFonts w:ascii="Arial" w:hAnsi="Arial" w:cs="Arial"/>
              </w:rPr>
              <w:t xml:space="preserve">The site is not affected by Helicopter OLS Contours. </w:t>
            </w:r>
          </w:p>
        </w:tc>
      </w:tr>
      <w:tr w:rsidR="00253493" w:rsidRPr="00253493" w14:paraId="778842B3" w14:textId="77777777" w:rsidTr="003652C9">
        <w:trPr>
          <w:trHeight w:val="72"/>
        </w:trPr>
        <w:tc>
          <w:tcPr>
            <w:tcW w:w="3260" w:type="dxa"/>
          </w:tcPr>
          <w:p w14:paraId="63D108B0" w14:textId="77777777" w:rsidR="00253493" w:rsidRPr="00253493" w:rsidRDefault="00253493" w:rsidP="003652C9">
            <w:pPr>
              <w:pStyle w:val="Table-Text"/>
              <w:rPr>
                <w:rFonts w:ascii="Arial" w:hAnsi="Arial" w:cs="Arial"/>
              </w:rPr>
            </w:pPr>
            <w:r w:rsidRPr="00253493">
              <w:rPr>
                <w:rFonts w:ascii="Arial" w:hAnsi="Arial" w:cs="Arial"/>
              </w:rPr>
              <w:t>Bush Fire Prone</w:t>
            </w:r>
          </w:p>
        </w:tc>
        <w:tc>
          <w:tcPr>
            <w:tcW w:w="4961" w:type="dxa"/>
          </w:tcPr>
          <w:p w14:paraId="6547334F" w14:textId="77777777" w:rsidR="00253493" w:rsidRPr="00253493" w:rsidRDefault="00253493" w:rsidP="003652C9">
            <w:pPr>
              <w:pStyle w:val="Table-Text"/>
              <w:rPr>
                <w:rFonts w:ascii="Arial" w:hAnsi="Arial" w:cs="Arial"/>
              </w:rPr>
            </w:pPr>
            <w:r w:rsidRPr="00253493">
              <w:rPr>
                <w:rFonts w:ascii="Arial" w:hAnsi="Arial" w:cs="Arial"/>
              </w:rPr>
              <w:t xml:space="preserve">Part of the site, largely east of Bridges Road, is identified as containing Bushfire Risk land in Category 1 and Buffer zones. </w:t>
            </w:r>
          </w:p>
        </w:tc>
      </w:tr>
    </w:tbl>
    <w:p w14:paraId="4CF51A3C" w14:textId="41241DCC" w:rsidR="00F761D0" w:rsidRPr="00253493" w:rsidRDefault="00F761D0">
      <w:pPr>
        <w:rPr>
          <w:rFonts w:ascii="Arial" w:eastAsiaTheme="minorEastAsia" w:hAnsi="Arial" w:cs="Arial"/>
          <w:iCs/>
          <w:sz w:val="20"/>
          <w:lang w:val="en-AU" w:eastAsia="ja-JP"/>
        </w:rPr>
      </w:pPr>
      <w:r w:rsidRPr="00253493">
        <w:rPr>
          <w:rFonts w:ascii="Arial" w:hAnsi="Arial" w:cs="Arial"/>
          <w:lang w:eastAsia="ja-JP"/>
        </w:rPr>
        <w:br w:type="page"/>
      </w:r>
    </w:p>
    <w:p w14:paraId="0928CF16" w14:textId="5AE50CA5" w:rsidR="005131E8" w:rsidRDefault="005131E8" w:rsidP="00DB28CF">
      <w:pPr>
        <w:pStyle w:val="Heading-Purple"/>
        <w:rPr>
          <w:lang w:eastAsia="ja-JP"/>
        </w:rPr>
      </w:pPr>
      <w:bookmarkStart w:id="17" w:name="_Toc59014418"/>
      <w:r>
        <w:rPr>
          <w:lang w:eastAsia="ja-JP"/>
        </w:rPr>
        <w:lastRenderedPageBreak/>
        <w:t>Part 1 – Objectives and Intended Outcome</w:t>
      </w:r>
      <w:bookmarkEnd w:id="17"/>
    </w:p>
    <w:p w14:paraId="540B4235" w14:textId="77777777" w:rsidR="00DB28CF" w:rsidRDefault="00DB28CF" w:rsidP="0080594D">
      <w:pPr>
        <w:spacing w:after="0"/>
        <w:jc w:val="both"/>
        <w:rPr>
          <w:lang w:eastAsia="ja-JP"/>
        </w:rPr>
      </w:pPr>
    </w:p>
    <w:p w14:paraId="215457C7" w14:textId="77777777" w:rsidR="00781973" w:rsidRPr="00781973" w:rsidRDefault="00781973" w:rsidP="00781973">
      <w:pPr>
        <w:jc w:val="both"/>
        <w:rPr>
          <w:rFonts w:ascii="Arial" w:hAnsi="Arial" w:cs="Arial"/>
          <w:sz w:val="20"/>
          <w:szCs w:val="20"/>
          <w:lang w:eastAsia="ja-JP" w:bidi="en-US"/>
        </w:rPr>
      </w:pPr>
      <w:r w:rsidRPr="00781973">
        <w:rPr>
          <w:rFonts w:ascii="Arial" w:hAnsi="Arial" w:cs="Arial"/>
          <w:sz w:val="20"/>
          <w:szCs w:val="20"/>
          <w:lang w:eastAsia="ja-JP" w:bidi="en-US"/>
        </w:rPr>
        <w:t>The objectives and intended outcomes of the planning proposal are to:</w:t>
      </w:r>
    </w:p>
    <w:p w14:paraId="3BB82364" w14:textId="46BDBD8C"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Realise Government objectives for the Georges River North Precinct, expressed both through the Place Strategy and LSPS, to provide a mixture of uses that complement the Liverpool CBD; </w:t>
      </w:r>
    </w:p>
    <w:p w14:paraId="223292B7" w14:textId="1E4C6F20"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Complement the objective of Liverpool Collaboration Area as a “rejuvenated river city”;</w:t>
      </w:r>
    </w:p>
    <w:p w14:paraId="093332BA" w14:textId="1338F5BD"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Assist the collaboration area in achieving its 2036 job and housing targets, which include 18,800 new dwellings and 16,200 new jobs;</w:t>
      </w:r>
    </w:p>
    <w:p w14:paraId="0C2DBE8C" w14:textId="028FF7B2"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Ensure infrastructure is delivered in line with development; </w:t>
      </w:r>
    </w:p>
    <w:p w14:paraId="51F3C472" w14:textId="67F82F3F"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Celebrate local character and heritage through the adaptive re-use of existing heritage items; </w:t>
      </w:r>
    </w:p>
    <w:p w14:paraId="0FC41D1D" w14:textId="5C124841"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Provide future housing and jobs within close proximity of a potential future Metro connection to Bankstown and the FAST Corridor; </w:t>
      </w:r>
    </w:p>
    <w:p w14:paraId="719D90E3" w14:textId="3C5D26B6"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Achieve Council’s vision of the Georges River Precinct as a “true River City that has a vibrant mix of uses and activities”; </w:t>
      </w:r>
    </w:p>
    <w:p w14:paraId="44CC4CE0" w14:textId="6F7619DB"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Enhance access to the Georges River Foreshore and improve opportunities along the waterfront;</w:t>
      </w:r>
    </w:p>
    <w:p w14:paraId="6CAE0351" w14:textId="72BC26D1" w:rsidR="00781973" w:rsidRPr="00233C5D" w:rsidRDefault="00781973" w:rsidP="00233C5D">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Provide </w:t>
      </w:r>
      <w:r w:rsidR="00233C5D">
        <w:rPr>
          <w:rFonts w:ascii="Arial" w:hAnsi="Arial" w:cs="Arial"/>
          <w:sz w:val="20"/>
          <w:szCs w:val="20"/>
          <w:lang w:eastAsia="ja-JP" w:bidi="en-US"/>
        </w:rPr>
        <w:t>ample</w:t>
      </w:r>
      <w:r w:rsidR="003C6305" w:rsidRPr="00233C5D">
        <w:rPr>
          <w:rFonts w:ascii="Arial" w:hAnsi="Arial" w:cs="Arial"/>
          <w:sz w:val="20"/>
          <w:szCs w:val="20"/>
          <w:lang w:eastAsia="ja-JP" w:bidi="en-US"/>
        </w:rPr>
        <w:t xml:space="preserve"> </w:t>
      </w:r>
      <w:r w:rsidRPr="00233C5D">
        <w:rPr>
          <w:rFonts w:ascii="Arial" w:hAnsi="Arial" w:cs="Arial"/>
          <w:sz w:val="20"/>
          <w:szCs w:val="20"/>
          <w:lang w:eastAsia="ja-JP" w:bidi="en-US"/>
        </w:rPr>
        <w:t>active and passive recreation opportunities for residents and workers in the area;</w:t>
      </w:r>
    </w:p>
    <w:p w14:paraId="6AC22160" w14:textId="19E4BFF7"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Act as a statement of intent to set a benchmark for new development in Moorebank that prioritises a high</w:t>
      </w:r>
      <w:r w:rsidR="00354F1E">
        <w:rPr>
          <w:rFonts w:ascii="Arial" w:hAnsi="Arial" w:cs="Arial"/>
          <w:sz w:val="20"/>
          <w:szCs w:val="20"/>
          <w:lang w:eastAsia="ja-JP" w:bidi="en-US"/>
        </w:rPr>
        <w:t>-</w:t>
      </w:r>
      <w:r w:rsidRPr="00781973">
        <w:rPr>
          <w:rFonts w:ascii="Arial" w:hAnsi="Arial" w:cs="Arial"/>
          <w:sz w:val="20"/>
          <w:szCs w:val="20"/>
          <w:lang w:eastAsia="ja-JP" w:bidi="en-US"/>
        </w:rPr>
        <w:t xml:space="preserve">quality public realm; </w:t>
      </w:r>
    </w:p>
    <w:p w14:paraId="34874FE5" w14:textId="2B0AAB9F"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Provide new public domain infrastructure and uses conducive to the foreshore nature of the site; </w:t>
      </w:r>
    </w:p>
    <w:p w14:paraId="4610CCDF" w14:textId="29D820B7"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Deliver new pedestrian and cycleway improvements along the foreshore, and additional connections from the site to Liverpool CBD and Train Station;  </w:t>
      </w:r>
    </w:p>
    <w:p w14:paraId="0D906832" w14:textId="390BBC07"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Provide a mix of uses with excellent access to existing public transport, community infrastructure, health and education services and Liverpool CBD;</w:t>
      </w:r>
    </w:p>
    <w:p w14:paraId="77FA1031" w14:textId="37404BEC"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Enable new services and accommodation in close proximity to the Liverpool Health and Education Precinct and Innovation Precinct;</w:t>
      </w:r>
    </w:p>
    <w:p w14:paraId="4F4C1353" w14:textId="6EF0367F" w:rsidR="0078197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 xml:space="preserve">Deliver a local street network and pedestrian connections to the foreshore; and </w:t>
      </w:r>
    </w:p>
    <w:p w14:paraId="10F8A79B" w14:textId="00897625" w:rsidR="005D56B3" w:rsidRPr="00781973" w:rsidRDefault="00781973" w:rsidP="00FC567E">
      <w:pPr>
        <w:pStyle w:val="ListParagraph"/>
        <w:numPr>
          <w:ilvl w:val="0"/>
          <w:numId w:val="15"/>
        </w:numPr>
        <w:jc w:val="both"/>
        <w:rPr>
          <w:rFonts w:ascii="Arial" w:hAnsi="Arial" w:cs="Arial"/>
          <w:sz w:val="20"/>
          <w:szCs w:val="20"/>
          <w:lang w:eastAsia="ja-JP" w:bidi="en-US"/>
        </w:rPr>
      </w:pPr>
      <w:r w:rsidRPr="00781973">
        <w:rPr>
          <w:rFonts w:ascii="Arial" w:hAnsi="Arial" w:cs="Arial"/>
          <w:sz w:val="20"/>
          <w:szCs w:val="20"/>
          <w:lang w:eastAsia="ja-JP" w:bidi="en-US"/>
        </w:rPr>
        <w:t>Provide high-quality mixed</w:t>
      </w:r>
      <w:r w:rsidR="00354F1E">
        <w:rPr>
          <w:rFonts w:ascii="Arial" w:hAnsi="Arial" w:cs="Arial"/>
          <w:sz w:val="20"/>
          <w:szCs w:val="20"/>
          <w:lang w:eastAsia="ja-JP" w:bidi="en-US"/>
        </w:rPr>
        <w:t>-</w:t>
      </w:r>
      <w:r w:rsidRPr="00781973">
        <w:rPr>
          <w:rFonts w:ascii="Arial" w:hAnsi="Arial" w:cs="Arial"/>
          <w:sz w:val="20"/>
          <w:szCs w:val="20"/>
          <w:lang w:eastAsia="ja-JP" w:bidi="en-US"/>
        </w:rPr>
        <w:t>use development, which will facilitate opportunities for new employment, housing choice and public amenity.</w:t>
      </w:r>
    </w:p>
    <w:p w14:paraId="2E42A5F9" w14:textId="77777777" w:rsidR="005D56B3" w:rsidRPr="005D56B3" w:rsidRDefault="005D56B3" w:rsidP="005D56B3">
      <w:pPr>
        <w:jc w:val="both"/>
        <w:rPr>
          <w:rFonts w:ascii="Arial" w:hAnsi="Arial" w:cs="Arial"/>
          <w:sz w:val="20"/>
          <w:szCs w:val="20"/>
          <w:lang w:eastAsia="ja-JP" w:bidi="en-US"/>
        </w:rPr>
      </w:pPr>
      <w:r w:rsidRPr="005D56B3">
        <w:rPr>
          <w:rFonts w:ascii="Arial" w:hAnsi="Arial" w:cs="Arial"/>
          <w:sz w:val="20"/>
          <w:szCs w:val="20"/>
          <w:u w:val="single"/>
          <w:lang w:eastAsia="ja-JP" w:bidi="en-US"/>
        </w:rPr>
        <w:t>Concept Master Plan</w:t>
      </w:r>
    </w:p>
    <w:p w14:paraId="37E1C8B3" w14:textId="77777777" w:rsidR="00EC39D7" w:rsidRDefault="00EC39D7" w:rsidP="00EC39D7">
      <w:pPr>
        <w:pStyle w:val="Body-Black"/>
      </w:pPr>
      <w:r>
        <w:t xml:space="preserve">To support the vision, SJB have prepared a masterplan for the site and additional landholdings comprising the Georges River North Precinct. The masterplan has been in the making for several years and has been shaped through an iterative and collaborative process with Council and a number of interdisciplinary consultants.  </w:t>
      </w:r>
    </w:p>
    <w:p w14:paraId="6BDD3C5D" w14:textId="77777777" w:rsidR="00EC39D7" w:rsidRDefault="00EC39D7" w:rsidP="00EC39D7">
      <w:pPr>
        <w:pStyle w:val="Body-Black"/>
      </w:pPr>
      <w:r>
        <w:t xml:space="preserve">The masterplan integrates a combination of natural and open space areas through the site in recognition of surrounding open space areas and the riverfront environment adjoining the site. </w:t>
      </w:r>
    </w:p>
    <w:p w14:paraId="2161A49D" w14:textId="77777777" w:rsidR="00EC39D7" w:rsidRDefault="00EC39D7" w:rsidP="00EC39D7">
      <w:pPr>
        <w:pStyle w:val="Body-Black"/>
      </w:pPr>
      <w:r>
        <w:t xml:space="preserve">The masterplan aligns with State and local government’s view to transform land east of the Georges River and north of Newbridge Road for mixed-use purposes including residential, commercial and recreation that complement Liverpool CBD.  </w:t>
      </w:r>
    </w:p>
    <w:p w14:paraId="19A18D9C" w14:textId="77777777" w:rsidR="00EC39D7" w:rsidRPr="005D56B3" w:rsidRDefault="00EC39D7" w:rsidP="004512C2">
      <w:pPr>
        <w:jc w:val="both"/>
        <w:rPr>
          <w:rFonts w:ascii="Arial" w:hAnsi="Arial" w:cs="Arial"/>
          <w:b/>
          <w:bCs/>
          <w:sz w:val="20"/>
          <w:szCs w:val="20"/>
          <w:lang w:eastAsia="ja-JP" w:bidi="en-US"/>
        </w:rPr>
      </w:pPr>
    </w:p>
    <w:p w14:paraId="47A2AC8F" w14:textId="04FC4099" w:rsidR="004512C2" w:rsidRPr="005D56B3" w:rsidRDefault="00B3065A" w:rsidP="004512C2">
      <w:pPr>
        <w:jc w:val="both"/>
        <w:rPr>
          <w:rFonts w:ascii="Arial" w:hAnsi="Arial" w:cs="Arial"/>
          <w:b/>
          <w:sz w:val="20"/>
          <w:szCs w:val="20"/>
          <w:lang w:eastAsia="ja-JP" w:bidi="en-US"/>
        </w:rPr>
      </w:pPr>
      <w:r w:rsidRPr="00527FCE">
        <w:rPr>
          <w:rFonts w:ascii="Arial" w:hAnsi="Arial" w:cs="Arial"/>
          <w:noProof/>
        </w:rPr>
        <w:lastRenderedPageBreak/>
        <w:drawing>
          <wp:inline distT="0" distB="0" distL="0" distR="0" wp14:anchorId="20A6F98B" wp14:editId="3A7065C0">
            <wp:extent cx="5731510" cy="413901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4139015"/>
                    </a:xfrm>
                    <a:prstGeom prst="rect">
                      <a:avLst/>
                    </a:prstGeom>
                  </pic:spPr>
                </pic:pic>
              </a:graphicData>
            </a:graphic>
          </wp:inline>
        </w:drawing>
      </w:r>
    </w:p>
    <w:p w14:paraId="0885736E" w14:textId="4D28410A" w:rsidR="00EC39D7" w:rsidRPr="00EC39D7" w:rsidRDefault="00EC39D7" w:rsidP="005D56B3">
      <w:pPr>
        <w:jc w:val="both"/>
        <w:rPr>
          <w:rFonts w:ascii="Arial" w:hAnsi="Arial" w:cs="Arial"/>
          <w:b/>
          <w:bCs/>
          <w:sz w:val="20"/>
          <w:szCs w:val="20"/>
          <w:lang w:eastAsia="ja-JP" w:bidi="en-US"/>
        </w:rPr>
      </w:pPr>
      <w:r w:rsidRPr="005D56B3">
        <w:rPr>
          <w:rFonts w:ascii="Arial" w:hAnsi="Arial" w:cs="Arial"/>
          <w:b/>
          <w:bCs/>
          <w:sz w:val="20"/>
          <w:szCs w:val="20"/>
          <w:lang w:eastAsia="ja-JP" w:bidi="en-US"/>
        </w:rPr>
        <w:t xml:space="preserve">Figure </w:t>
      </w:r>
      <w:r w:rsidR="00FD1FDA">
        <w:rPr>
          <w:rFonts w:ascii="Arial" w:hAnsi="Arial" w:cs="Arial"/>
          <w:b/>
          <w:bCs/>
          <w:sz w:val="20"/>
          <w:szCs w:val="20"/>
          <w:lang w:eastAsia="ja-JP" w:bidi="en-US"/>
        </w:rPr>
        <w:t>6</w:t>
      </w:r>
      <w:r w:rsidRPr="005D56B3">
        <w:rPr>
          <w:rFonts w:ascii="Arial" w:hAnsi="Arial" w:cs="Arial"/>
          <w:b/>
          <w:bCs/>
          <w:sz w:val="20"/>
          <w:szCs w:val="20"/>
          <w:lang w:eastAsia="ja-JP" w:bidi="en-US"/>
        </w:rPr>
        <w:t xml:space="preserve"> | </w:t>
      </w:r>
      <w:r>
        <w:rPr>
          <w:rFonts w:ascii="Arial" w:hAnsi="Arial" w:cs="Arial"/>
          <w:b/>
          <w:bCs/>
          <w:sz w:val="20"/>
          <w:szCs w:val="20"/>
          <w:lang w:eastAsia="ja-JP" w:bidi="en-US"/>
        </w:rPr>
        <w:t>Urban Design Study</w:t>
      </w:r>
      <w:r w:rsidRPr="005D56B3">
        <w:rPr>
          <w:rFonts w:ascii="Arial" w:hAnsi="Arial" w:cs="Arial"/>
          <w:b/>
          <w:bCs/>
          <w:sz w:val="20"/>
          <w:szCs w:val="20"/>
          <w:lang w:eastAsia="ja-JP" w:bidi="en-US"/>
        </w:rPr>
        <w:t xml:space="preserve"> </w:t>
      </w:r>
      <w:r>
        <w:rPr>
          <w:rFonts w:ascii="Arial" w:hAnsi="Arial" w:cs="Arial"/>
          <w:b/>
          <w:bCs/>
          <w:sz w:val="20"/>
          <w:szCs w:val="20"/>
          <w:lang w:eastAsia="ja-JP" w:bidi="en-US"/>
        </w:rPr>
        <w:t>structure plan</w:t>
      </w:r>
    </w:p>
    <w:p w14:paraId="37300533" w14:textId="5F1D77B0" w:rsidR="004512C2" w:rsidRDefault="004512C2" w:rsidP="005D56B3">
      <w:pPr>
        <w:jc w:val="both"/>
        <w:rPr>
          <w:rFonts w:ascii="Arial" w:hAnsi="Arial" w:cs="Arial"/>
          <w:i/>
          <w:sz w:val="20"/>
          <w:szCs w:val="20"/>
          <w:lang w:eastAsia="ja-JP" w:bidi="en-US"/>
        </w:rPr>
      </w:pPr>
      <w:r w:rsidRPr="005D56B3">
        <w:rPr>
          <w:rFonts w:ascii="Arial" w:hAnsi="Arial" w:cs="Arial"/>
          <w:i/>
          <w:sz w:val="20"/>
          <w:szCs w:val="20"/>
          <w:lang w:eastAsia="ja-JP" w:bidi="en-US"/>
        </w:rPr>
        <w:t xml:space="preserve">Source: </w:t>
      </w:r>
      <w:r w:rsidR="00B3065A">
        <w:rPr>
          <w:rFonts w:ascii="Arial" w:hAnsi="Arial" w:cs="Arial"/>
          <w:i/>
          <w:sz w:val="20"/>
          <w:szCs w:val="20"/>
          <w:lang w:eastAsia="ja-JP" w:bidi="en-US"/>
        </w:rPr>
        <w:t>SJB</w:t>
      </w:r>
      <w:r w:rsidR="00AF01D9">
        <w:rPr>
          <w:rFonts w:ascii="Arial" w:hAnsi="Arial" w:cs="Arial"/>
          <w:i/>
          <w:sz w:val="20"/>
          <w:szCs w:val="20"/>
          <w:lang w:eastAsia="ja-JP" w:bidi="en-US"/>
        </w:rPr>
        <w:t>, 2020</w:t>
      </w:r>
    </w:p>
    <w:p w14:paraId="7E3848BC" w14:textId="1568333C" w:rsidR="000F31B3" w:rsidRDefault="000F31B3">
      <w:pPr>
        <w:rPr>
          <w:rFonts w:ascii="Arial" w:hAnsi="Arial" w:cs="Arial"/>
          <w:sz w:val="20"/>
          <w:szCs w:val="20"/>
          <w:lang w:eastAsia="ja-JP" w:bidi="en-US"/>
        </w:rPr>
      </w:pPr>
      <w:r w:rsidRPr="000F31B3">
        <w:rPr>
          <w:rFonts w:ascii="Arial" w:hAnsi="Arial" w:cs="Arial"/>
          <w:sz w:val="20"/>
          <w:szCs w:val="20"/>
          <w:lang w:eastAsia="ja-JP" w:bidi="en-US"/>
        </w:rPr>
        <w:t>The masterplan is explained through a series of structure plans that detail future land uses, open space and landscaping, movement and access and activation of the site, and how it responds to strategic planning objectives for Liverpool CBD.</w:t>
      </w:r>
    </w:p>
    <w:p w14:paraId="6C9C7BDA" w14:textId="62CD4639" w:rsidR="001E10DB" w:rsidRDefault="000837EB">
      <w:pPr>
        <w:rPr>
          <w:rFonts w:ascii="Arial" w:hAnsi="Arial" w:cs="Arial"/>
          <w:sz w:val="20"/>
          <w:szCs w:val="20"/>
          <w:lang w:eastAsia="ja-JP" w:bidi="en-US"/>
        </w:rPr>
      </w:pPr>
      <w:r>
        <w:rPr>
          <w:rFonts w:ascii="Arial" w:hAnsi="Arial" w:cs="Arial"/>
          <w:sz w:val="20"/>
          <w:szCs w:val="20"/>
          <w:lang w:eastAsia="ja-JP" w:bidi="en-US"/>
        </w:rPr>
        <w:t xml:space="preserve">The above structure plan </w:t>
      </w:r>
      <w:r w:rsidR="00FF3317">
        <w:rPr>
          <w:rFonts w:ascii="Arial" w:hAnsi="Arial" w:cs="Arial"/>
          <w:sz w:val="20"/>
          <w:szCs w:val="20"/>
          <w:lang w:eastAsia="ja-JP" w:bidi="en-US"/>
        </w:rPr>
        <w:t>has</w:t>
      </w:r>
      <w:r>
        <w:rPr>
          <w:rFonts w:ascii="Arial" w:hAnsi="Arial" w:cs="Arial"/>
          <w:sz w:val="20"/>
          <w:szCs w:val="20"/>
          <w:lang w:eastAsia="ja-JP" w:bidi="en-US"/>
        </w:rPr>
        <w:t xml:space="preserve"> require</w:t>
      </w:r>
      <w:r w:rsidR="00FF3317">
        <w:rPr>
          <w:rFonts w:ascii="Arial" w:hAnsi="Arial" w:cs="Arial"/>
          <w:sz w:val="20"/>
          <w:szCs w:val="20"/>
          <w:lang w:eastAsia="ja-JP" w:bidi="en-US"/>
        </w:rPr>
        <w:t>d</w:t>
      </w:r>
      <w:r>
        <w:rPr>
          <w:rFonts w:ascii="Arial" w:hAnsi="Arial" w:cs="Arial"/>
          <w:sz w:val="20"/>
          <w:szCs w:val="20"/>
          <w:lang w:eastAsia="ja-JP" w:bidi="en-US"/>
        </w:rPr>
        <w:t xml:space="preserve"> amendment to facilitate changes made by Council to the planning proposal request, including that 1.5 hectares (block R above) be investigated </w:t>
      </w:r>
      <w:r w:rsidR="007E032E">
        <w:rPr>
          <w:rFonts w:ascii="Arial" w:hAnsi="Arial" w:cs="Arial"/>
          <w:sz w:val="20"/>
          <w:szCs w:val="20"/>
          <w:lang w:eastAsia="ja-JP" w:bidi="en-US"/>
        </w:rPr>
        <w:t>as</w:t>
      </w:r>
      <w:r>
        <w:rPr>
          <w:rFonts w:ascii="Arial" w:hAnsi="Arial" w:cs="Arial"/>
          <w:sz w:val="20"/>
          <w:szCs w:val="20"/>
          <w:lang w:eastAsia="ja-JP" w:bidi="en-US"/>
        </w:rPr>
        <w:t xml:space="preserve"> additional open space and that there is a minimum 40</w:t>
      </w:r>
      <w:r w:rsidR="00FD6D67">
        <w:rPr>
          <w:rFonts w:ascii="Arial" w:hAnsi="Arial" w:cs="Arial"/>
          <w:sz w:val="20"/>
          <w:szCs w:val="20"/>
          <w:lang w:eastAsia="ja-JP" w:bidi="en-US"/>
        </w:rPr>
        <w:t>m</w:t>
      </w:r>
      <w:r>
        <w:rPr>
          <w:rFonts w:ascii="Arial" w:hAnsi="Arial" w:cs="Arial"/>
          <w:sz w:val="20"/>
          <w:szCs w:val="20"/>
          <w:lang w:eastAsia="ja-JP" w:bidi="en-US"/>
        </w:rPr>
        <w:t xml:space="preserve"> buffer of RE1 space around Lake Moore.</w:t>
      </w:r>
    </w:p>
    <w:p w14:paraId="40660502" w14:textId="5D682303" w:rsidR="001E10DB" w:rsidRDefault="001E10DB">
      <w:pPr>
        <w:rPr>
          <w:rFonts w:ascii="Arial" w:hAnsi="Arial" w:cs="Arial"/>
          <w:sz w:val="20"/>
          <w:szCs w:val="20"/>
          <w:lang w:eastAsia="ja-JP" w:bidi="en-US"/>
        </w:rPr>
      </w:pPr>
      <w:r>
        <w:rPr>
          <w:rFonts w:ascii="Arial" w:hAnsi="Arial" w:cs="Arial"/>
          <w:sz w:val="20"/>
          <w:szCs w:val="20"/>
          <w:lang w:eastAsia="ja-JP" w:bidi="en-US"/>
        </w:rPr>
        <w:t xml:space="preserve">The changes are illustrated in Figure </w:t>
      </w:r>
      <w:r w:rsidR="00FD1FDA">
        <w:rPr>
          <w:rFonts w:ascii="Arial" w:hAnsi="Arial" w:cs="Arial"/>
          <w:sz w:val="20"/>
          <w:szCs w:val="20"/>
          <w:lang w:eastAsia="ja-JP" w:bidi="en-US"/>
        </w:rPr>
        <w:t>7</w:t>
      </w:r>
      <w:r>
        <w:rPr>
          <w:rFonts w:ascii="Arial" w:hAnsi="Arial" w:cs="Arial"/>
          <w:sz w:val="20"/>
          <w:szCs w:val="20"/>
          <w:lang w:eastAsia="ja-JP" w:bidi="en-US"/>
        </w:rPr>
        <w:t>.</w:t>
      </w:r>
    </w:p>
    <w:p w14:paraId="5102D94D" w14:textId="78C75FB6" w:rsidR="00E6643C" w:rsidRDefault="00E6643C">
      <w:pPr>
        <w:rPr>
          <w:rFonts w:ascii="Arial" w:hAnsi="Arial" w:cs="Arial"/>
          <w:sz w:val="20"/>
          <w:szCs w:val="20"/>
          <w:lang w:eastAsia="ja-JP" w:bidi="en-US"/>
        </w:rPr>
      </w:pPr>
      <w:r w:rsidRPr="00E6643C">
        <w:rPr>
          <w:rFonts w:ascii="Arial" w:hAnsi="Arial" w:cs="Arial"/>
          <w:noProof/>
          <w:sz w:val="20"/>
          <w:szCs w:val="20"/>
          <w:lang w:eastAsia="ja-JP" w:bidi="en-US"/>
        </w:rPr>
        <w:lastRenderedPageBreak/>
        <w:drawing>
          <wp:inline distT="0" distB="0" distL="0" distR="0" wp14:anchorId="7E719475" wp14:editId="5C5C2466">
            <wp:extent cx="6330267" cy="350247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67104" cy="3522858"/>
                    </a:xfrm>
                    <a:prstGeom prst="rect">
                      <a:avLst/>
                    </a:prstGeom>
                  </pic:spPr>
                </pic:pic>
              </a:graphicData>
            </a:graphic>
          </wp:inline>
        </w:drawing>
      </w:r>
    </w:p>
    <w:p w14:paraId="34B4B5D1" w14:textId="42C9FAE0" w:rsidR="00E6643C" w:rsidRPr="00EC39D7" w:rsidRDefault="00E6643C" w:rsidP="00E6643C">
      <w:pPr>
        <w:jc w:val="both"/>
        <w:rPr>
          <w:rFonts w:ascii="Arial" w:hAnsi="Arial" w:cs="Arial"/>
          <w:b/>
          <w:bCs/>
          <w:sz w:val="20"/>
          <w:szCs w:val="20"/>
          <w:lang w:eastAsia="ja-JP" w:bidi="en-US"/>
        </w:rPr>
      </w:pPr>
      <w:r w:rsidRPr="005D56B3">
        <w:rPr>
          <w:rFonts w:ascii="Arial" w:hAnsi="Arial" w:cs="Arial"/>
          <w:b/>
          <w:bCs/>
          <w:sz w:val="20"/>
          <w:szCs w:val="20"/>
          <w:lang w:eastAsia="ja-JP" w:bidi="en-US"/>
        </w:rPr>
        <w:t xml:space="preserve">Figure </w:t>
      </w:r>
      <w:r w:rsidR="00FD1FDA">
        <w:rPr>
          <w:rFonts w:ascii="Arial" w:hAnsi="Arial" w:cs="Arial"/>
          <w:b/>
          <w:bCs/>
          <w:sz w:val="20"/>
          <w:szCs w:val="20"/>
          <w:lang w:eastAsia="ja-JP" w:bidi="en-US"/>
        </w:rPr>
        <w:t>7</w:t>
      </w:r>
      <w:r w:rsidRPr="005D56B3">
        <w:rPr>
          <w:rFonts w:ascii="Arial" w:hAnsi="Arial" w:cs="Arial"/>
          <w:b/>
          <w:bCs/>
          <w:sz w:val="20"/>
          <w:szCs w:val="20"/>
          <w:lang w:eastAsia="ja-JP" w:bidi="en-US"/>
        </w:rPr>
        <w:t xml:space="preserve"> | </w:t>
      </w:r>
      <w:r>
        <w:rPr>
          <w:rFonts w:ascii="Arial" w:hAnsi="Arial" w:cs="Arial"/>
          <w:b/>
          <w:bCs/>
          <w:sz w:val="20"/>
          <w:szCs w:val="20"/>
          <w:lang w:eastAsia="ja-JP" w:bidi="en-US"/>
        </w:rPr>
        <w:t>Urban Design Study</w:t>
      </w:r>
      <w:r w:rsidRPr="005D56B3">
        <w:rPr>
          <w:rFonts w:ascii="Arial" w:hAnsi="Arial" w:cs="Arial"/>
          <w:b/>
          <w:bCs/>
          <w:sz w:val="20"/>
          <w:szCs w:val="20"/>
          <w:lang w:eastAsia="ja-JP" w:bidi="en-US"/>
        </w:rPr>
        <w:t xml:space="preserve"> </w:t>
      </w:r>
      <w:r>
        <w:rPr>
          <w:rFonts w:ascii="Arial" w:hAnsi="Arial" w:cs="Arial"/>
          <w:b/>
          <w:bCs/>
          <w:sz w:val="20"/>
          <w:szCs w:val="20"/>
          <w:lang w:eastAsia="ja-JP" w:bidi="en-US"/>
        </w:rPr>
        <w:t>structure plan</w:t>
      </w:r>
    </w:p>
    <w:p w14:paraId="13AFB5C4" w14:textId="681A8338" w:rsidR="00E6643C" w:rsidRPr="00E6643C" w:rsidRDefault="00E6643C" w:rsidP="00E6643C">
      <w:pPr>
        <w:jc w:val="both"/>
        <w:rPr>
          <w:rFonts w:ascii="Arial" w:hAnsi="Arial" w:cs="Arial"/>
          <w:i/>
          <w:sz w:val="20"/>
          <w:szCs w:val="20"/>
          <w:lang w:eastAsia="ja-JP" w:bidi="en-US"/>
        </w:rPr>
      </w:pPr>
      <w:r w:rsidRPr="005D56B3">
        <w:rPr>
          <w:rFonts w:ascii="Arial" w:hAnsi="Arial" w:cs="Arial"/>
          <w:i/>
          <w:sz w:val="20"/>
          <w:szCs w:val="20"/>
          <w:lang w:eastAsia="ja-JP" w:bidi="en-US"/>
        </w:rPr>
        <w:t xml:space="preserve">Source: </w:t>
      </w:r>
      <w:r>
        <w:rPr>
          <w:rFonts w:ascii="Arial" w:hAnsi="Arial" w:cs="Arial"/>
          <w:i/>
          <w:sz w:val="20"/>
          <w:szCs w:val="20"/>
          <w:lang w:eastAsia="ja-JP" w:bidi="en-US"/>
        </w:rPr>
        <w:t>SJB, 2020</w:t>
      </w:r>
    </w:p>
    <w:p w14:paraId="73F682B6" w14:textId="77777777" w:rsidR="00E6643C" w:rsidRDefault="00E6643C">
      <w:pPr>
        <w:rPr>
          <w:rFonts w:ascii="Arial" w:hAnsi="Arial" w:cs="Arial"/>
          <w:sz w:val="20"/>
          <w:szCs w:val="20"/>
          <w:lang w:eastAsia="ja-JP" w:bidi="en-US"/>
        </w:rPr>
      </w:pPr>
    </w:p>
    <w:p w14:paraId="3F716B58" w14:textId="24DAE642" w:rsidR="004512C2" w:rsidRDefault="004512C2">
      <w:pPr>
        <w:rPr>
          <w:rFonts w:ascii="Arial" w:hAnsi="Arial" w:cs="Arial"/>
          <w:sz w:val="20"/>
          <w:szCs w:val="20"/>
          <w:lang w:eastAsia="ja-JP" w:bidi="en-US"/>
        </w:rPr>
      </w:pPr>
      <w:r>
        <w:rPr>
          <w:rFonts w:ascii="Arial" w:hAnsi="Arial" w:cs="Arial"/>
          <w:sz w:val="20"/>
          <w:szCs w:val="20"/>
          <w:lang w:eastAsia="ja-JP" w:bidi="en-US"/>
        </w:rPr>
        <w:br w:type="page"/>
      </w:r>
    </w:p>
    <w:p w14:paraId="2F61FA1F" w14:textId="1B6F9007" w:rsidR="00825045" w:rsidRDefault="00825045" w:rsidP="00825045">
      <w:pPr>
        <w:pStyle w:val="Heading-Purple"/>
        <w:rPr>
          <w:lang w:eastAsia="ja-JP"/>
        </w:rPr>
      </w:pPr>
      <w:bookmarkStart w:id="18" w:name="_Toc59014419"/>
      <w:r>
        <w:rPr>
          <w:lang w:eastAsia="ja-JP"/>
        </w:rPr>
        <w:lastRenderedPageBreak/>
        <w:t>Part 2 – Explanation of Provisions</w:t>
      </w:r>
      <w:bookmarkEnd w:id="18"/>
    </w:p>
    <w:p w14:paraId="7164496E" w14:textId="77777777" w:rsidR="00825045" w:rsidRDefault="00825045" w:rsidP="005D56B3">
      <w:pPr>
        <w:jc w:val="both"/>
        <w:rPr>
          <w:rFonts w:ascii="Arial" w:hAnsi="Arial" w:cs="Arial"/>
          <w:sz w:val="20"/>
          <w:szCs w:val="20"/>
          <w:lang w:eastAsia="ja-JP" w:bidi="en-US"/>
        </w:rPr>
      </w:pPr>
    </w:p>
    <w:p w14:paraId="3906406A" w14:textId="77777777" w:rsidR="006D64F8" w:rsidRPr="006D64F8" w:rsidRDefault="006D64F8" w:rsidP="006D64F8">
      <w:pPr>
        <w:jc w:val="both"/>
        <w:rPr>
          <w:rFonts w:ascii="Arial" w:hAnsi="Arial" w:cs="Arial"/>
          <w:sz w:val="20"/>
          <w:szCs w:val="20"/>
          <w:lang w:eastAsia="ja-JP" w:bidi="en-US"/>
        </w:rPr>
      </w:pPr>
      <w:r w:rsidRPr="006D64F8">
        <w:rPr>
          <w:rFonts w:ascii="Arial" w:hAnsi="Arial" w:cs="Arial"/>
          <w:sz w:val="20"/>
          <w:szCs w:val="20"/>
          <w:lang w:eastAsia="ja-JP" w:bidi="en-US"/>
        </w:rPr>
        <w:t>The planning proposal seeks to achieve the intended outcomes through the following amendments to LLEP 2008:</w:t>
      </w:r>
    </w:p>
    <w:p w14:paraId="3FE1F082" w14:textId="15D6D038" w:rsidR="006D64F8" w:rsidRPr="006D64F8" w:rsidRDefault="006D64F8" w:rsidP="00FC567E">
      <w:pPr>
        <w:pStyle w:val="ListParagraph"/>
        <w:numPr>
          <w:ilvl w:val="0"/>
          <w:numId w:val="16"/>
        </w:numPr>
        <w:jc w:val="both"/>
        <w:rPr>
          <w:rFonts w:ascii="Arial" w:hAnsi="Arial" w:cs="Arial"/>
          <w:sz w:val="20"/>
          <w:szCs w:val="20"/>
          <w:lang w:eastAsia="ja-JP" w:bidi="en-US"/>
        </w:rPr>
      </w:pPr>
      <w:r w:rsidRPr="006D64F8">
        <w:rPr>
          <w:rFonts w:ascii="Arial" w:hAnsi="Arial" w:cs="Arial"/>
          <w:sz w:val="20"/>
          <w:szCs w:val="20"/>
          <w:lang w:eastAsia="ja-JP" w:bidi="en-US"/>
        </w:rPr>
        <w:t>Rezone the site from IN2 Light Industrial to B4 Mixed Use</w:t>
      </w:r>
      <w:r>
        <w:rPr>
          <w:rFonts w:ascii="Arial" w:hAnsi="Arial" w:cs="Arial"/>
          <w:sz w:val="20"/>
          <w:szCs w:val="20"/>
          <w:lang w:eastAsia="ja-JP" w:bidi="en-US"/>
        </w:rPr>
        <w:t xml:space="preserve">, </w:t>
      </w:r>
      <w:r w:rsidRPr="006D64F8">
        <w:rPr>
          <w:rFonts w:ascii="Arial" w:hAnsi="Arial" w:cs="Arial"/>
          <w:sz w:val="20"/>
          <w:szCs w:val="20"/>
          <w:lang w:eastAsia="ja-JP" w:bidi="en-US"/>
        </w:rPr>
        <w:t>B6 Enterprise Corridor</w:t>
      </w:r>
      <w:r>
        <w:rPr>
          <w:rFonts w:ascii="Arial" w:hAnsi="Arial" w:cs="Arial"/>
          <w:sz w:val="20"/>
          <w:szCs w:val="20"/>
          <w:lang w:eastAsia="ja-JP" w:bidi="en-US"/>
        </w:rPr>
        <w:t xml:space="preserve"> and RE1 Public Recreation</w:t>
      </w:r>
      <w:r w:rsidRPr="006D64F8">
        <w:rPr>
          <w:rFonts w:ascii="Arial" w:hAnsi="Arial" w:cs="Arial"/>
          <w:sz w:val="20"/>
          <w:szCs w:val="20"/>
          <w:lang w:eastAsia="ja-JP" w:bidi="en-US"/>
        </w:rPr>
        <w:t>;</w:t>
      </w:r>
    </w:p>
    <w:p w14:paraId="59D48870" w14:textId="7C000F58" w:rsidR="006D64F8" w:rsidRPr="006D64F8" w:rsidRDefault="006D64F8" w:rsidP="00FC567E">
      <w:pPr>
        <w:pStyle w:val="ListParagraph"/>
        <w:numPr>
          <w:ilvl w:val="0"/>
          <w:numId w:val="16"/>
        </w:numPr>
        <w:jc w:val="both"/>
        <w:rPr>
          <w:rFonts w:ascii="Arial" w:hAnsi="Arial" w:cs="Arial"/>
          <w:sz w:val="20"/>
          <w:szCs w:val="20"/>
          <w:lang w:eastAsia="ja-JP" w:bidi="en-US"/>
        </w:rPr>
      </w:pPr>
      <w:r w:rsidRPr="006D64F8">
        <w:rPr>
          <w:rFonts w:ascii="Arial" w:hAnsi="Arial" w:cs="Arial"/>
          <w:sz w:val="20"/>
          <w:szCs w:val="20"/>
          <w:lang w:eastAsia="ja-JP" w:bidi="en-US"/>
        </w:rPr>
        <w:t>Increase the maximum floor space ratio to part 4.2</w:t>
      </w:r>
      <w:r w:rsidR="00FD6D67">
        <w:rPr>
          <w:rFonts w:ascii="Arial" w:hAnsi="Arial" w:cs="Arial"/>
          <w:sz w:val="20"/>
          <w:szCs w:val="20"/>
          <w:lang w:eastAsia="ja-JP" w:bidi="en-US"/>
        </w:rPr>
        <w:t>:</w:t>
      </w:r>
      <w:r w:rsidRPr="006D64F8">
        <w:rPr>
          <w:rFonts w:ascii="Arial" w:hAnsi="Arial" w:cs="Arial"/>
          <w:sz w:val="20"/>
          <w:szCs w:val="20"/>
          <w:lang w:eastAsia="ja-JP" w:bidi="en-US"/>
        </w:rPr>
        <w:t>1 and 3.5:1;</w:t>
      </w:r>
    </w:p>
    <w:p w14:paraId="49830907" w14:textId="6B9F85B7" w:rsidR="006D64F8" w:rsidRPr="006D64F8" w:rsidRDefault="006D64F8" w:rsidP="00FC567E">
      <w:pPr>
        <w:pStyle w:val="ListParagraph"/>
        <w:numPr>
          <w:ilvl w:val="0"/>
          <w:numId w:val="16"/>
        </w:numPr>
        <w:jc w:val="both"/>
        <w:rPr>
          <w:rFonts w:ascii="Arial" w:hAnsi="Arial" w:cs="Arial"/>
          <w:sz w:val="20"/>
          <w:szCs w:val="20"/>
          <w:lang w:eastAsia="ja-JP" w:bidi="en-US"/>
        </w:rPr>
      </w:pPr>
      <w:r w:rsidRPr="006D64F8">
        <w:rPr>
          <w:rFonts w:ascii="Arial" w:hAnsi="Arial" w:cs="Arial"/>
          <w:sz w:val="20"/>
          <w:szCs w:val="20"/>
          <w:lang w:eastAsia="ja-JP" w:bidi="en-US"/>
        </w:rPr>
        <w:t>Introduce an RL height for the site and increase the maximum height of buildings to from 18m and 15m to 136</w:t>
      </w:r>
      <w:r w:rsidR="00FD6D67">
        <w:rPr>
          <w:rFonts w:ascii="Arial" w:hAnsi="Arial" w:cs="Arial"/>
          <w:sz w:val="20"/>
          <w:szCs w:val="20"/>
          <w:lang w:eastAsia="ja-JP" w:bidi="en-US"/>
        </w:rPr>
        <w:t>m</w:t>
      </w:r>
      <w:r w:rsidRPr="006D64F8">
        <w:rPr>
          <w:rFonts w:ascii="Arial" w:hAnsi="Arial" w:cs="Arial"/>
          <w:sz w:val="20"/>
          <w:szCs w:val="20"/>
          <w:lang w:eastAsia="ja-JP" w:bidi="en-US"/>
        </w:rPr>
        <w:t xml:space="preserve"> RL and 108</w:t>
      </w:r>
      <w:r w:rsidR="00FD6D67">
        <w:rPr>
          <w:rFonts w:ascii="Arial" w:hAnsi="Arial" w:cs="Arial"/>
          <w:sz w:val="20"/>
          <w:szCs w:val="20"/>
          <w:lang w:eastAsia="ja-JP" w:bidi="en-US"/>
        </w:rPr>
        <w:t>m</w:t>
      </w:r>
      <w:r w:rsidRPr="006D64F8">
        <w:rPr>
          <w:rFonts w:ascii="Arial" w:hAnsi="Arial" w:cs="Arial"/>
          <w:sz w:val="20"/>
          <w:szCs w:val="20"/>
          <w:lang w:eastAsia="ja-JP" w:bidi="en-US"/>
        </w:rPr>
        <w:t xml:space="preserve"> RL; </w:t>
      </w:r>
    </w:p>
    <w:p w14:paraId="42FE314D" w14:textId="77777777" w:rsidR="006D64F8" w:rsidRPr="006D64F8" w:rsidRDefault="006D64F8" w:rsidP="00FC567E">
      <w:pPr>
        <w:pStyle w:val="ListParagraph"/>
        <w:numPr>
          <w:ilvl w:val="0"/>
          <w:numId w:val="16"/>
        </w:numPr>
        <w:jc w:val="both"/>
        <w:rPr>
          <w:rFonts w:ascii="Arial" w:hAnsi="Arial" w:cs="Arial"/>
          <w:sz w:val="20"/>
          <w:szCs w:val="20"/>
          <w:lang w:eastAsia="ja-JP" w:bidi="en-US"/>
        </w:rPr>
      </w:pPr>
      <w:r w:rsidRPr="006D64F8">
        <w:rPr>
          <w:rFonts w:ascii="Arial" w:hAnsi="Arial" w:cs="Arial"/>
          <w:sz w:val="20"/>
          <w:szCs w:val="20"/>
          <w:lang w:eastAsia="ja-JP" w:bidi="en-US"/>
        </w:rPr>
        <w:t>Introduce Division 1A to manage site specific provisions; and</w:t>
      </w:r>
    </w:p>
    <w:p w14:paraId="2CB6360F" w14:textId="09646EC4" w:rsidR="006D64F8" w:rsidRDefault="006D64F8" w:rsidP="00FC567E">
      <w:pPr>
        <w:pStyle w:val="ListParagraph"/>
        <w:numPr>
          <w:ilvl w:val="0"/>
          <w:numId w:val="16"/>
        </w:numPr>
        <w:jc w:val="both"/>
        <w:rPr>
          <w:rFonts w:ascii="Arial" w:hAnsi="Arial" w:cs="Arial"/>
          <w:sz w:val="20"/>
          <w:szCs w:val="20"/>
          <w:lang w:eastAsia="ja-JP" w:bidi="en-US"/>
        </w:rPr>
      </w:pPr>
      <w:r w:rsidRPr="006D64F8">
        <w:rPr>
          <w:rFonts w:ascii="Arial" w:hAnsi="Arial" w:cs="Arial"/>
          <w:sz w:val="20"/>
          <w:szCs w:val="20"/>
          <w:lang w:eastAsia="ja-JP" w:bidi="en-US"/>
        </w:rPr>
        <w:t>Introduce new subclause in Schedule 1 to permit additional uses.</w:t>
      </w:r>
    </w:p>
    <w:p w14:paraId="157716FB" w14:textId="0E047F4E" w:rsidR="002B0097" w:rsidRPr="002B0097" w:rsidRDefault="004C389E" w:rsidP="00FC567E">
      <w:pPr>
        <w:pStyle w:val="ListParagraph"/>
        <w:numPr>
          <w:ilvl w:val="0"/>
          <w:numId w:val="16"/>
        </w:numPr>
        <w:jc w:val="both"/>
        <w:rPr>
          <w:rFonts w:ascii="Arial" w:hAnsi="Arial" w:cs="Arial"/>
          <w:sz w:val="20"/>
          <w:szCs w:val="20"/>
          <w:lang w:eastAsia="ja-JP" w:bidi="en-US"/>
        </w:rPr>
      </w:pPr>
      <w:r>
        <w:rPr>
          <w:rFonts w:ascii="Arial" w:hAnsi="Arial" w:cs="Arial"/>
          <w:sz w:val="20"/>
          <w:szCs w:val="20"/>
          <w:lang w:eastAsia="ja-JP" w:bidi="en-US"/>
        </w:rPr>
        <w:t xml:space="preserve">Amend </w:t>
      </w:r>
      <w:r w:rsidR="002B0097">
        <w:rPr>
          <w:rFonts w:ascii="Arial" w:hAnsi="Arial" w:cs="Arial"/>
          <w:sz w:val="20"/>
          <w:szCs w:val="20"/>
          <w:lang w:eastAsia="ja-JP" w:bidi="en-US"/>
        </w:rPr>
        <w:t>Clause 7.22 (4) to read ‘</w:t>
      </w:r>
      <w:r w:rsidR="002B0097" w:rsidRPr="002B0097">
        <w:rPr>
          <w:rFonts w:ascii="Arial" w:hAnsi="Arial" w:cs="Arial"/>
          <w:sz w:val="20"/>
          <w:szCs w:val="20"/>
          <w:lang w:eastAsia="ja-JP" w:bidi="en-US"/>
        </w:rPr>
        <w:t>Development consent must not be granted to development for the purposes of a dwelling</w:t>
      </w:r>
      <w:r w:rsidR="002B0097">
        <w:rPr>
          <w:rFonts w:ascii="Arial" w:hAnsi="Arial" w:cs="Arial"/>
          <w:sz w:val="20"/>
          <w:szCs w:val="20"/>
          <w:lang w:eastAsia="ja-JP" w:bidi="en-US"/>
        </w:rPr>
        <w:t xml:space="preserve"> </w:t>
      </w:r>
      <w:r w:rsidR="002B0097" w:rsidRPr="002B0097">
        <w:rPr>
          <w:rFonts w:ascii="Arial" w:hAnsi="Arial" w:cs="Arial"/>
          <w:sz w:val="20"/>
          <w:szCs w:val="20"/>
          <w:lang w:eastAsia="ja-JP" w:bidi="en-US"/>
        </w:rPr>
        <w:t>on land shown edged heavy green on the Key Sites Map and that adjoins the Hume Highway,</w:t>
      </w:r>
      <w:r w:rsidR="002B0097">
        <w:rPr>
          <w:rFonts w:ascii="Arial" w:hAnsi="Arial" w:cs="Arial"/>
          <w:sz w:val="20"/>
          <w:szCs w:val="20"/>
          <w:lang w:eastAsia="ja-JP" w:bidi="en-US"/>
        </w:rPr>
        <w:t xml:space="preserve"> </w:t>
      </w:r>
      <w:r w:rsidR="002B0097" w:rsidRPr="00530D4A">
        <w:rPr>
          <w:rFonts w:ascii="Arial" w:hAnsi="Arial" w:cs="Arial"/>
          <w:i/>
          <w:iCs/>
          <w:sz w:val="20"/>
          <w:szCs w:val="20"/>
          <w:u w:val="single"/>
          <w:lang w:eastAsia="ja-JP" w:bidi="en-US"/>
        </w:rPr>
        <w:t>Newbridge Road</w:t>
      </w:r>
      <w:r w:rsidR="002B0097" w:rsidRPr="002B0097">
        <w:rPr>
          <w:rFonts w:ascii="Arial" w:hAnsi="Arial" w:cs="Arial"/>
          <w:sz w:val="20"/>
          <w:szCs w:val="20"/>
          <w:lang w:eastAsia="ja-JP" w:bidi="en-US"/>
        </w:rPr>
        <w:t xml:space="preserve"> or Elizabeth Drive unless the dwelling is at least 8 metres from any boundary</w:t>
      </w:r>
      <w:r w:rsidR="002B0097">
        <w:rPr>
          <w:rFonts w:ascii="Arial" w:hAnsi="Arial" w:cs="Arial"/>
          <w:sz w:val="20"/>
          <w:szCs w:val="20"/>
          <w:lang w:eastAsia="ja-JP" w:bidi="en-US"/>
        </w:rPr>
        <w:t xml:space="preserve"> </w:t>
      </w:r>
      <w:r w:rsidR="002B0097" w:rsidRPr="002B0097">
        <w:rPr>
          <w:rFonts w:ascii="Arial" w:hAnsi="Arial" w:cs="Arial"/>
          <w:sz w:val="20"/>
          <w:szCs w:val="20"/>
          <w:lang w:eastAsia="ja-JP" w:bidi="en-US"/>
        </w:rPr>
        <w:t>of the land that adjoins either of those roads</w:t>
      </w:r>
      <w:r w:rsidR="00FA6ED0">
        <w:rPr>
          <w:rFonts w:ascii="Arial" w:hAnsi="Arial" w:cs="Arial"/>
          <w:sz w:val="20"/>
          <w:szCs w:val="20"/>
          <w:lang w:eastAsia="ja-JP" w:bidi="en-US"/>
        </w:rPr>
        <w:t>’</w:t>
      </w:r>
      <w:r w:rsidR="00530D4A">
        <w:rPr>
          <w:rFonts w:ascii="Arial" w:hAnsi="Arial" w:cs="Arial"/>
          <w:sz w:val="20"/>
          <w:szCs w:val="20"/>
          <w:lang w:eastAsia="ja-JP" w:bidi="en-US"/>
        </w:rPr>
        <w:t>,</w:t>
      </w:r>
      <w:r w:rsidR="00FA6ED0">
        <w:rPr>
          <w:rFonts w:ascii="Arial" w:hAnsi="Arial" w:cs="Arial"/>
          <w:sz w:val="20"/>
          <w:szCs w:val="20"/>
          <w:lang w:eastAsia="ja-JP" w:bidi="en-US"/>
        </w:rPr>
        <w:t xml:space="preserve"> and amend the Key Sites Map to include the Moore Point precinct.</w:t>
      </w:r>
    </w:p>
    <w:p w14:paraId="6544A42E" w14:textId="01322E3B" w:rsidR="006D64F8" w:rsidRPr="002B0097" w:rsidRDefault="006D64F8" w:rsidP="002B0097">
      <w:pPr>
        <w:jc w:val="both"/>
        <w:rPr>
          <w:rFonts w:ascii="Arial" w:hAnsi="Arial" w:cs="Arial"/>
          <w:sz w:val="20"/>
          <w:szCs w:val="20"/>
          <w:lang w:eastAsia="ja-JP" w:bidi="en-US"/>
        </w:rPr>
      </w:pPr>
      <w:r w:rsidRPr="002B0097">
        <w:rPr>
          <w:rFonts w:ascii="Arial" w:hAnsi="Arial" w:cs="Arial"/>
          <w:sz w:val="20"/>
          <w:szCs w:val="20"/>
          <w:lang w:eastAsia="ja-JP" w:bidi="en-US"/>
        </w:rPr>
        <w:t xml:space="preserve">The relevant mapping changes are shown in </w:t>
      </w:r>
      <w:r w:rsidR="00D34DBA">
        <w:rPr>
          <w:rFonts w:ascii="Arial" w:hAnsi="Arial" w:cs="Arial"/>
          <w:sz w:val="20"/>
          <w:szCs w:val="20"/>
          <w:lang w:eastAsia="ja-JP" w:bidi="en-US"/>
        </w:rPr>
        <w:t>Part</w:t>
      </w:r>
      <w:r w:rsidRPr="002B0097">
        <w:rPr>
          <w:rFonts w:ascii="Arial" w:hAnsi="Arial" w:cs="Arial"/>
          <w:sz w:val="20"/>
          <w:szCs w:val="20"/>
          <w:lang w:eastAsia="ja-JP" w:bidi="en-US"/>
        </w:rPr>
        <w:t xml:space="preserve"> </w:t>
      </w:r>
      <w:r w:rsidR="00D34DBA">
        <w:rPr>
          <w:rFonts w:ascii="Arial" w:hAnsi="Arial" w:cs="Arial"/>
          <w:sz w:val="20"/>
          <w:szCs w:val="20"/>
          <w:lang w:eastAsia="ja-JP" w:bidi="en-US"/>
        </w:rPr>
        <w:t>4</w:t>
      </w:r>
      <w:r w:rsidRPr="002B0097">
        <w:rPr>
          <w:rFonts w:ascii="Arial" w:hAnsi="Arial" w:cs="Arial"/>
          <w:sz w:val="20"/>
          <w:szCs w:val="20"/>
          <w:lang w:eastAsia="ja-JP" w:bidi="en-US"/>
        </w:rPr>
        <w:t xml:space="preserve"> of this report.</w:t>
      </w:r>
    </w:p>
    <w:p w14:paraId="155B6489" w14:textId="77777777" w:rsidR="006D64F8" w:rsidRPr="006D64F8" w:rsidRDefault="006D64F8" w:rsidP="006D64F8">
      <w:pPr>
        <w:jc w:val="both"/>
        <w:rPr>
          <w:rFonts w:ascii="Arial" w:hAnsi="Arial" w:cs="Arial"/>
          <w:sz w:val="20"/>
          <w:szCs w:val="20"/>
          <w:lang w:eastAsia="ja-JP" w:bidi="en-US"/>
        </w:rPr>
      </w:pPr>
      <w:r w:rsidRPr="006D64F8">
        <w:rPr>
          <w:rFonts w:ascii="Arial" w:hAnsi="Arial" w:cs="Arial"/>
          <w:sz w:val="20"/>
          <w:szCs w:val="20"/>
          <w:lang w:eastAsia="ja-JP" w:bidi="en-US"/>
        </w:rPr>
        <w:t xml:space="preserve">The RL heights have been specifically determined by the Bankstown Airports Procedures for Air Navigation Services – Aircraft Operations (PANS-OPS) circling surfaces. </w:t>
      </w:r>
    </w:p>
    <w:p w14:paraId="6E2C9DDB" w14:textId="6444B5A5" w:rsidR="006D64F8" w:rsidRPr="006D64F8" w:rsidRDefault="006D64F8" w:rsidP="006D64F8">
      <w:pPr>
        <w:jc w:val="both"/>
        <w:rPr>
          <w:rFonts w:ascii="Arial" w:hAnsi="Arial" w:cs="Arial"/>
          <w:sz w:val="20"/>
          <w:szCs w:val="20"/>
          <w:lang w:eastAsia="ja-JP" w:bidi="en-US"/>
        </w:rPr>
      </w:pPr>
      <w:r w:rsidRPr="006D64F8">
        <w:rPr>
          <w:rFonts w:ascii="Arial" w:hAnsi="Arial" w:cs="Arial"/>
          <w:sz w:val="20"/>
          <w:szCs w:val="20"/>
          <w:lang w:eastAsia="ja-JP" w:bidi="en-US"/>
        </w:rPr>
        <w:t xml:space="preserve">In order to manage site specific development outcomes on the site, it is proposed to create a new Division to LLEP 2008. </w:t>
      </w:r>
      <w:r w:rsidR="00FD6D67">
        <w:rPr>
          <w:rFonts w:ascii="Arial" w:hAnsi="Arial" w:cs="Arial"/>
          <w:sz w:val="20"/>
          <w:szCs w:val="20"/>
          <w:lang w:eastAsia="ja-JP" w:bidi="en-US"/>
        </w:rPr>
        <w:t xml:space="preserve">It is </w:t>
      </w:r>
      <w:r w:rsidRPr="006D64F8">
        <w:rPr>
          <w:rFonts w:ascii="Arial" w:hAnsi="Arial" w:cs="Arial"/>
          <w:sz w:val="20"/>
          <w:szCs w:val="20"/>
          <w:lang w:eastAsia="ja-JP" w:bidi="en-US"/>
        </w:rPr>
        <w:t>note</w:t>
      </w:r>
      <w:r w:rsidR="00FD6D67">
        <w:rPr>
          <w:rFonts w:ascii="Arial" w:hAnsi="Arial" w:cs="Arial"/>
          <w:sz w:val="20"/>
          <w:szCs w:val="20"/>
          <w:lang w:eastAsia="ja-JP" w:bidi="en-US"/>
        </w:rPr>
        <w:t>d</w:t>
      </w:r>
      <w:r w:rsidRPr="006D64F8">
        <w:rPr>
          <w:rFonts w:ascii="Arial" w:hAnsi="Arial" w:cs="Arial"/>
          <w:sz w:val="20"/>
          <w:szCs w:val="20"/>
          <w:lang w:eastAsia="ja-JP" w:bidi="en-US"/>
        </w:rPr>
        <w:t xml:space="preserve"> part of the land is already located within Division 1 Liverpool city centre however, it </w:t>
      </w:r>
      <w:r w:rsidR="00FD6D67">
        <w:rPr>
          <w:rFonts w:ascii="Arial" w:hAnsi="Arial" w:cs="Arial"/>
          <w:sz w:val="20"/>
          <w:szCs w:val="20"/>
          <w:lang w:eastAsia="ja-JP" w:bidi="en-US"/>
        </w:rPr>
        <w:t xml:space="preserve">is </w:t>
      </w:r>
      <w:r w:rsidRPr="006D64F8">
        <w:rPr>
          <w:rFonts w:ascii="Arial" w:hAnsi="Arial" w:cs="Arial"/>
          <w:sz w:val="20"/>
          <w:szCs w:val="20"/>
          <w:lang w:eastAsia="ja-JP" w:bidi="en-US"/>
        </w:rPr>
        <w:t xml:space="preserve">intended to amend this map to refer to Moore Point as </w:t>
      </w:r>
      <w:r w:rsidR="00FD6D67">
        <w:rPr>
          <w:rFonts w:ascii="Arial" w:hAnsi="Arial" w:cs="Arial"/>
          <w:sz w:val="20"/>
          <w:szCs w:val="20"/>
          <w:lang w:eastAsia="ja-JP" w:bidi="en-US"/>
        </w:rPr>
        <w:t>C</w:t>
      </w:r>
      <w:r w:rsidRPr="006D64F8">
        <w:rPr>
          <w:rFonts w:ascii="Arial" w:hAnsi="Arial" w:cs="Arial"/>
          <w:sz w:val="20"/>
          <w:szCs w:val="20"/>
          <w:lang w:eastAsia="ja-JP" w:bidi="en-US"/>
        </w:rPr>
        <w:t xml:space="preserve">ity </w:t>
      </w:r>
      <w:r w:rsidR="00FD6D67">
        <w:rPr>
          <w:rFonts w:ascii="Arial" w:hAnsi="Arial" w:cs="Arial"/>
          <w:sz w:val="20"/>
          <w:szCs w:val="20"/>
          <w:lang w:eastAsia="ja-JP" w:bidi="en-US"/>
        </w:rPr>
        <w:t>C</w:t>
      </w:r>
      <w:r w:rsidRPr="006D64F8">
        <w:rPr>
          <w:rFonts w:ascii="Arial" w:hAnsi="Arial" w:cs="Arial"/>
          <w:sz w:val="20"/>
          <w:szCs w:val="20"/>
          <w:lang w:eastAsia="ja-JP" w:bidi="en-US"/>
        </w:rPr>
        <w:t xml:space="preserve">entre </w:t>
      </w:r>
      <w:r w:rsidR="00FD6D67">
        <w:rPr>
          <w:rFonts w:ascii="Arial" w:hAnsi="Arial" w:cs="Arial"/>
          <w:sz w:val="20"/>
          <w:szCs w:val="20"/>
          <w:lang w:eastAsia="ja-JP" w:bidi="en-US"/>
        </w:rPr>
        <w:t>E</w:t>
      </w:r>
      <w:r w:rsidRPr="006D64F8">
        <w:rPr>
          <w:rFonts w:ascii="Arial" w:hAnsi="Arial" w:cs="Arial"/>
          <w:sz w:val="20"/>
          <w:szCs w:val="20"/>
          <w:lang w:eastAsia="ja-JP" w:bidi="en-US"/>
        </w:rPr>
        <w:t xml:space="preserve">ast. </w:t>
      </w:r>
    </w:p>
    <w:p w14:paraId="40B0BC57" w14:textId="77777777" w:rsidR="006D64F8" w:rsidRPr="006D64F8" w:rsidRDefault="006D64F8" w:rsidP="006D64F8">
      <w:pPr>
        <w:jc w:val="both"/>
        <w:rPr>
          <w:rFonts w:ascii="Arial" w:hAnsi="Arial" w:cs="Arial"/>
          <w:sz w:val="20"/>
          <w:szCs w:val="20"/>
          <w:lang w:eastAsia="ja-JP" w:bidi="en-US"/>
        </w:rPr>
      </w:pPr>
      <w:r w:rsidRPr="006D64F8">
        <w:rPr>
          <w:rFonts w:ascii="Arial" w:hAnsi="Arial" w:cs="Arial"/>
          <w:sz w:val="20"/>
          <w:szCs w:val="20"/>
          <w:lang w:eastAsia="ja-JP" w:bidi="en-US"/>
        </w:rPr>
        <w:t>The following structure and wording are suggested:</w:t>
      </w:r>
    </w:p>
    <w:p w14:paraId="7D272118" w14:textId="37D27B5E" w:rsidR="00643DFF" w:rsidRPr="003D36B9" w:rsidRDefault="00643DFF" w:rsidP="00643DFF">
      <w:pPr>
        <w:jc w:val="both"/>
        <w:rPr>
          <w:rFonts w:ascii="Arial" w:hAnsi="Arial" w:cs="Arial"/>
          <w:b/>
          <w:bCs/>
          <w:sz w:val="20"/>
          <w:szCs w:val="20"/>
          <w:u w:val="single"/>
          <w:lang w:eastAsia="ja-JP"/>
        </w:rPr>
      </w:pPr>
      <w:r w:rsidRPr="003D36B9">
        <w:rPr>
          <w:rFonts w:ascii="Arial" w:hAnsi="Arial" w:cs="Arial"/>
          <w:b/>
          <w:bCs/>
          <w:sz w:val="20"/>
          <w:szCs w:val="20"/>
          <w:u w:val="single"/>
          <w:lang w:eastAsia="ja-JP"/>
        </w:rPr>
        <w:t>Division 1A Liverpool city centre eastern expansion – Moore Point provisions</w:t>
      </w:r>
    </w:p>
    <w:p w14:paraId="612D824A" w14:textId="77777777" w:rsidR="00643DFF" w:rsidRPr="004B0FD7" w:rsidRDefault="00643DFF" w:rsidP="00643DFF">
      <w:pPr>
        <w:jc w:val="both"/>
        <w:rPr>
          <w:rFonts w:ascii="Arial" w:hAnsi="Arial" w:cs="Arial"/>
          <w:b/>
          <w:bCs/>
          <w:sz w:val="20"/>
          <w:szCs w:val="20"/>
          <w:lang w:eastAsia="ja-JP"/>
        </w:rPr>
      </w:pPr>
      <w:r w:rsidRPr="004B0FD7">
        <w:rPr>
          <w:rFonts w:ascii="Arial" w:hAnsi="Arial" w:cs="Arial"/>
          <w:b/>
          <w:bCs/>
          <w:sz w:val="20"/>
          <w:szCs w:val="20"/>
          <w:lang w:eastAsia="ja-JP"/>
        </w:rPr>
        <w:t>7.5AB Objectives for development in Moore Point</w:t>
      </w:r>
    </w:p>
    <w:p w14:paraId="0468ABBB" w14:textId="22E17668" w:rsidR="006355AF" w:rsidRPr="006355AF" w:rsidRDefault="00643DFF" w:rsidP="00FC567E">
      <w:pPr>
        <w:pStyle w:val="ListParagraph"/>
        <w:numPr>
          <w:ilvl w:val="0"/>
          <w:numId w:val="19"/>
        </w:numPr>
        <w:jc w:val="both"/>
        <w:rPr>
          <w:rFonts w:ascii="Arial" w:hAnsi="Arial" w:cs="Arial"/>
          <w:sz w:val="20"/>
          <w:szCs w:val="20"/>
          <w:lang w:eastAsia="ja-JP"/>
        </w:rPr>
      </w:pPr>
      <w:r w:rsidRPr="004B0FD7">
        <w:rPr>
          <w:rFonts w:ascii="Arial" w:hAnsi="Arial" w:cs="Arial"/>
          <w:sz w:val="20"/>
          <w:szCs w:val="20"/>
          <w:lang w:eastAsia="ja-JP"/>
        </w:rPr>
        <w:t>Before granting consent for development on land in the Moore Point, the consent authority must be satisfied that the proposed development is consistent with such of the following objectives for the redevelopment of Moore Point as are relevant to that development</w:t>
      </w:r>
      <w:r w:rsidR="006355AF">
        <w:rPr>
          <w:rFonts w:ascii="Arial" w:hAnsi="Arial" w:cs="Arial"/>
          <w:sz w:val="20"/>
          <w:szCs w:val="20"/>
          <w:lang w:eastAsia="ja-JP"/>
        </w:rPr>
        <w:t>:</w:t>
      </w:r>
      <w:r w:rsidR="006355AF">
        <w:rPr>
          <w:rFonts w:ascii="Arial" w:hAnsi="Arial" w:cs="Arial"/>
          <w:sz w:val="20"/>
          <w:szCs w:val="20"/>
          <w:lang w:eastAsia="ja-JP"/>
        </w:rPr>
        <w:br/>
      </w:r>
    </w:p>
    <w:p w14:paraId="6554FFB0" w14:textId="50CE7AE1"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 xml:space="preserve">to provide building forms and land uses that are complementary to Liverpool city centre, </w:t>
      </w:r>
    </w:p>
    <w:p w14:paraId="08E1DDFB" w14:textId="6755E0FD"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to enhance the Georges River foreshore for passive and active recreational purposes,</w:t>
      </w:r>
    </w:p>
    <w:p w14:paraId="5C0D8DE5" w14:textId="40260D99"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 xml:space="preserve">to enhance places of heritage significance including the Pirelli Powercables and Systems Building, </w:t>
      </w:r>
    </w:p>
    <w:p w14:paraId="0F096E60" w14:textId="3D82F22D"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Provide a mix of uses that exhibit a high level of design excellence,</w:t>
      </w:r>
    </w:p>
    <w:p w14:paraId="77DC06BA" w14:textId="655F7312"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 xml:space="preserve">to provide direct, convenient and safe pedestrian links to Liverpool Train Station and Liverpool city centre, </w:t>
      </w:r>
    </w:p>
    <w:p w14:paraId="4EFB1411" w14:textId="44919275" w:rsidR="00643DFF" w:rsidRPr="00C10FF9" w:rsidRDefault="00643DFF" w:rsidP="00FC567E">
      <w:pPr>
        <w:pStyle w:val="ListParagraph"/>
        <w:numPr>
          <w:ilvl w:val="0"/>
          <w:numId w:val="17"/>
        </w:numPr>
        <w:jc w:val="both"/>
        <w:rPr>
          <w:rFonts w:ascii="Arial" w:hAnsi="Arial" w:cs="Arial"/>
          <w:sz w:val="20"/>
          <w:szCs w:val="20"/>
          <w:lang w:eastAsia="ja-JP"/>
        </w:rPr>
      </w:pPr>
      <w:r w:rsidRPr="00C10FF9">
        <w:rPr>
          <w:rFonts w:ascii="Arial" w:hAnsi="Arial" w:cs="Arial"/>
          <w:sz w:val="20"/>
          <w:szCs w:val="20"/>
          <w:lang w:eastAsia="ja-JP"/>
        </w:rPr>
        <w:t xml:space="preserve">to ensure land uses respond appropriately to Newbridge Road including traffic and residential amenity. </w:t>
      </w:r>
    </w:p>
    <w:p w14:paraId="113DABD1" w14:textId="15593B7C" w:rsidR="00643DFF" w:rsidRPr="004B0FD7" w:rsidRDefault="00643DFF" w:rsidP="00643DFF">
      <w:pPr>
        <w:jc w:val="both"/>
        <w:rPr>
          <w:rFonts w:ascii="Arial" w:hAnsi="Arial" w:cs="Arial"/>
          <w:b/>
          <w:bCs/>
          <w:sz w:val="20"/>
          <w:szCs w:val="20"/>
          <w:lang w:eastAsia="ja-JP"/>
        </w:rPr>
      </w:pPr>
      <w:r w:rsidRPr="004B0FD7">
        <w:rPr>
          <w:rFonts w:ascii="Arial" w:hAnsi="Arial" w:cs="Arial"/>
          <w:b/>
          <w:bCs/>
          <w:sz w:val="20"/>
          <w:szCs w:val="20"/>
          <w:lang w:eastAsia="ja-JP"/>
        </w:rPr>
        <w:t>7.5AC Land to which this Division Applies</w:t>
      </w:r>
    </w:p>
    <w:p w14:paraId="05F52A06" w14:textId="6CF0B845" w:rsidR="00643DFF" w:rsidRPr="004B0FD7" w:rsidRDefault="00643DFF" w:rsidP="00FC567E">
      <w:pPr>
        <w:pStyle w:val="ListParagraph"/>
        <w:numPr>
          <w:ilvl w:val="0"/>
          <w:numId w:val="18"/>
        </w:numPr>
        <w:jc w:val="both"/>
        <w:rPr>
          <w:rFonts w:ascii="Arial" w:hAnsi="Arial" w:cs="Arial"/>
          <w:sz w:val="20"/>
          <w:szCs w:val="20"/>
          <w:lang w:eastAsia="ja-JP"/>
        </w:rPr>
      </w:pPr>
      <w:r w:rsidRPr="004B0FD7">
        <w:rPr>
          <w:rFonts w:ascii="Arial" w:hAnsi="Arial" w:cs="Arial"/>
          <w:sz w:val="20"/>
          <w:szCs w:val="20"/>
          <w:lang w:eastAsia="ja-JP"/>
        </w:rPr>
        <w:t xml:space="preserve">This division applies to </w:t>
      </w:r>
      <w:r w:rsidR="00970773">
        <w:rPr>
          <w:rFonts w:ascii="Arial" w:hAnsi="Arial" w:cs="Arial"/>
          <w:sz w:val="20"/>
          <w:szCs w:val="20"/>
          <w:lang w:eastAsia="ja-JP"/>
        </w:rPr>
        <w:t xml:space="preserve">land </w:t>
      </w:r>
      <w:r w:rsidRPr="004B0FD7">
        <w:rPr>
          <w:rFonts w:ascii="Arial" w:hAnsi="Arial" w:cs="Arial"/>
          <w:sz w:val="20"/>
          <w:szCs w:val="20"/>
          <w:lang w:eastAsia="ja-JP"/>
        </w:rPr>
        <w:t>marked “</w:t>
      </w:r>
      <w:r w:rsidR="00970773">
        <w:rPr>
          <w:rFonts w:ascii="Arial" w:hAnsi="Arial" w:cs="Arial"/>
          <w:sz w:val="20"/>
          <w:szCs w:val="20"/>
          <w:lang w:eastAsia="ja-JP"/>
        </w:rPr>
        <w:t>Moore Point</w:t>
      </w:r>
      <w:r w:rsidRPr="004B0FD7">
        <w:rPr>
          <w:rFonts w:ascii="Arial" w:hAnsi="Arial" w:cs="Arial"/>
          <w:sz w:val="20"/>
          <w:szCs w:val="20"/>
          <w:lang w:eastAsia="ja-JP"/>
        </w:rPr>
        <w:t xml:space="preserve">” on the </w:t>
      </w:r>
      <w:r w:rsidR="00970773">
        <w:rPr>
          <w:rFonts w:ascii="Arial" w:hAnsi="Arial" w:cs="Arial"/>
          <w:sz w:val="20"/>
          <w:szCs w:val="20"/>
          <w:lang w:eastAsia="ja-JP"/>
        </w:rPr>
        <w:t>Key Sites</w:t>
      </w:r>
      <w:r w:rsidRPr="004B0FD7">
        <w:rPr>
          <w:rFonts w:ascii="Arial" w:hAnsi="Arial" w:cs="Arial"/>
          <w:sz w:val="20"/>
          <w:szCs w:val="20"/>
          <w:lang w:eastAsia="ja-JP"/>
        </w:rPr>
        <w:t xml:space="preserve"> Map. </w:t>
      </w:r>
    </w:p>
    <w:p w14:paraId="2959EB64" w14:textId="77777777" w:rsidR="00643DFF" w:rsidRPr="004B0FD7" w:rsidRDefault="00643DFF" w:rsidP="00643DFF">
      <w:pPr>
        <w:jc w:val="both"/>
        <w:rPr>
          <w:rFonts w:ascii="Arial" w:hAnsi="Arial" w:cs="Arial"/>
          <w:b/>
          <w:bCs/>
          <w:sz w:val="20"/>
          <w:szCs w:val="20"/>
          <w:lang w:eastAsia="ja-JP"/>
        </w:rPr>
      </w:pPr>
      <w:r w:rsidRPr="004B0FD7">
        <w:rPr>
          <w:rFonts w:ascii="Arial" w:hAnsi="Arial" w:cs="Arial"/>
          <w:b/>
          <w:bCs/>
          <w:sz w:val="20"/>
          <w:szCs w:val="20"/>
          <w:lang w:eastAsia="ja-JP"/>
        </w:rPr>
        <w:t>7.5AD Development requiring or authorising the preparation of a development control plan</w:t>
      </w:r>
    </w:p>
    <w:p w14:paraId="79A8328B" w14:textId="64F395C9" w:rsidR="00643DFF" w:rsidRPr="006355AF" w:rsidRDefault="00643DFF" w:rsidP="00FC567E">
      <w:pPr>
        <w:pStyle w:val="ListParagraph"/>
        <w:numPr>
          <w:ilvl w:val="0"/>
          <w:numId w:val="20"/>
        </w:numPr>
        <w:ind w:left="714" w:hanging="357"/>
        <w:jc w:val="both"/>
        <w:rPr>
          <w:rFonts w:ascii="Arial" w:hAnsi="Arial" w:cs="Arial"/>
          <w:sz w:val="20"/>
          <w:szCs w:val="20"/>
          <w:lang w:eastAsia="ja-JP"/>
        </w:rPr>
      </w:pPr>
      <w:r w:rsidRPr="006355AF">
        <w:rPr>
          <w:rFonts w:ascii="Arial" w:hAnsi="Arial" w:cs="Arial"/>
          <w:sz w:val="20"/>
          <w:szCs w:val="20"/>
          <w:lang w:eastAsia="ja-JP"/>
        </w:rPr>
        <w:lastRenderedPageBreak/>
        <w:t>The objective of this clause is to ensure development occurs with a site-specific development control plan</w:t>
      </w:r>
    </w:p>
    <w:p w14:paraId="44A7E8D2" w14:textId="7F5A6FD1" w:rsidR="00643DFF" w:rsidRPr="006355AF" w:rsidRDefault="00643DFF" w:rsidP="00FC567E">
      <w:pPr>
        <w:pStyle w:val="ListParagraph"/>
        <w:numPr>
          <w:ilvl w:val="0"/>
          <w:numId w:val="20"/>
        </w:numPr>
        <w:jc w:val="both"/>
        <w:rPr>
          <w:rFonts w:ascii="Arial" w:hAnsi="Arial" w:cs="Arial"/>
          <w:sz w:val="20"/>
          <w:szCs w:val="20"/>
          <w:lang w:eastAsia="ja-JP"/>
        </w:rPr>
      </w:pPr>
      <w:r w:rsidRPr="006355AF">
        <w:rPr>
          <w:rFonts w:ascii="Arial" w:hAnsi="Arial" w:cs="Arial"/>
          <w:sz w:val="20"/>
          <w:szCs w:val="20"/>
          <w:lang w:eastAsia="ja-JP"/>
        </w:rPr>
        <w:t xml:space="preserve">This clause applies to development on land – </w:t>
      </w:r>
    </w:p>
    <w:p w14:paraId="789B9089" w14:textId="48FEF610"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 xml:space="preserve">That is shown in </w:t>
      </w:r>
      <w:r w:rsidR="00651783">
        <w:rPr>
          <w:rFonts w:ascii="Arial" w:hAnsi="Arial" w:cs="Arial"/>
          <w:sz w:val="20"/>
          <w:szCs w:val="20"/>
          <w:lang w:eastAsia="ja-JP"/>
        </w:rPr>
        <w:t>purple</w:t>
      </w:r>
      <w:r w:rsidRPr="006355AF">
        <w:rPr>
          <w:rFonts w:ascii="Arial" w:hAnsi="Arial" w:cs="Arial"/>
          <w:sz w:val="20"/>
          <w:szCs w:val="20"/>
          <w:lang w:eastAsia="ja-JP"/>
        </w:rPr>
        <w:t xml:space="preserve"> outline on the </w:t>
      </w:r>
      <w:r w:rsidR="00651783">
        <w:rPr>
          <w:rFonts w:ascii="Arial" w:hAnsi="Arial" w:cs="Arial"/>
          <w:sz w:val="20"/>
          <w:szCs w:val="20"/>
          <w:lang w:eastAsia="ja-JP"/>
        </w:rPr>
        <w:t>Key Sites</w:t>
      </w:r>
      <w:bookmarkStart w:id="19" w:name="_GoBack"/>
      <w:bookmarkEnd w:id="19"/>
      <w:r w:rsidRPr="006355AF">
        <w:rPr>
          <w:rFonts w:ascii="Arial" w:hAnsi="Arial" w:cs="Arial"/>
          <w:sz w:val="20"/>
          <w:szCs w:val="20"/>
          <w:lang w:eastAsia="ja-JP"/>
        </w:rPr>
        <w:t xml:space="preserve"> Map that is for the purposes of a new building, which will have a gross development area in excess of 5000 sqm.</w:t>
      </w:r>
    </w:p>
    <w:p w14:paraId="0304C638" w14:textId="7129723D" w:rsidR="00643DFF" w:rsidRPr="006355AF" w:rsidRDefault="00643DFF" w:rsidP="00FC567E">
      <w:pPr>
        <w:pStyle w:val="ListParagraph"/>
        <w:numPr>
          <w:ilvl w:val="0"/>
          <w:numId w:val="20"/>
        </w:numPr>
        <w:jc w:val="both"/>
        <w:rPr>
          <w:rFonts w:ascii="Arial" w:hAnsi="Arial" w:cs="Arial"/>
          <w:sz w:val="20"/>
          <w:szCs w:val="20"/>
          <w:lang w:eastAsia="ja-JP"/>
        </w:rPr>
      </w:pPr>
      <w:r w:rsidRPr="006355AF">
        <w:rPr>
          <w:rFonts w:ascii="Arial" w:hAnsi="Arial" w:cs="Arial"/>
          <w:sz w:val="20"/>
          <w:szCs w:val="20"/>
          <w:lang w:eastAsia="ja-JP"/>
        </w:rPr>
        <w:t>A development control plan is not required to be prepared if the consent authority is satisfied that such a plan would be unreasonable or unnecessary in the circumstances or that the development</w:t>
      </w:r>
    </w:p>
    <w:p w14:paraId="6934FBED" w14:textId="55C99A08"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Involves only alterations and additions to an existing building, and</w:t>
      </w:r>
    </w:p>
    <w:p w14:paraId="30B1AC09" w14:textId="4D55D29E"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Does not significantly increase the height or gross floor area of the building, and</w:t>
      </w:r>
    </w:p>
    <w:p w14:paraId="2B21A632" w14:textId="4526BD70"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Does not have significant adverse impacts on adjoining buildings or the public domain, and</w:t>
      </w:r>
    </w:p>
    <w:p w14:paraId="44F1863C" w14:textId="6629511F"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 xml:space="preserve">Does not significantly alter any aspect of the building when viewed from public places. </w:t>
      </w:r>
    </w:p>
    <w:p w14:paraId="00B77CE0" w14:textId="656E45FB" w:rsidR="00643DFF" w:rsidRPr="006355AF" w:rsidRDefault="00643DFF" w:rsidP="00FC567E">
      <w:pPr>
        <w:pStyle w:val="ListParagraph"/>
        <w:numPr>
          <w:ilvl w:val="0"/>
          <w:numId w:val="20"/>
        </w:numPr>
        <w:jc w:val="both"/>
        <w:rPr>
          <w:rFonts w:ascii="Arial" w:hAnsi="Arial" w:cs="Arial"/>
          <w:sz w:val="20"/>
          <w:szCs w:val="20"/>
          <w:lang w:eastAsia="ja-JP"/>
        </w:rPr>
      </w:pPr>
      <w:r w:rsidRPr="006355AF">
        <w:rPr>
          <w:rFonts w:ascii="Arial" w:hAnsi="Arial" w:cs="Arial"/>
          <w:sz w:val="20"/>
          <w:szCs w:val="20"/>
          <w:lang w:eastAsia="ja-JP"/>
        </w:rPr>
        <w:t xml:space="preserve">Development consent must not be granted for development on land to which this clause applies unless – </w:t>
      </w:r>
    </w:p>
    <w:p w14:paraId="1A3E3F05" w14:textId="0E5637D7"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 xml:space="preserve">A concept development application has been prepared or applies to the land, or </w:t>
      </w:r>
    </w:p>
    <w:p w14:paraId="61046BA5" w14:textId="4862E3DF"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 xml:space="preserve">The development is of a minor nature and is consistent with the objectives of the zone in which the land is situated. </w:t>
      </w:r>
    </w:p>
    <w:p w14:paraId="01A29391" w14:textId="7E46BE84" w:rsidR="00643DFF" w:rsidRPr="006355AF" w:rsidRDefault="00643DFF" w:rsidP="00FC567E">
      <w:pPr>
        <w:pStyle w:val="ListParagraph"/>
        <w:numPr>
          <w:ilvl w:val="0"/>
          <w:numId w:val="20"/>
        </w:numPr>
        <w:jc w:val="both"/>
        <w:rPr>
          <w:rFonts w:ascii="Arial" w:hAnsi="Arial" w:cs="Arial"/>
          <w:sz w:val="20"/>
          <w:szCs w:val="20"/>
          <w:lang w:eastAsia="ja-JP"/>
        </w:rPr>
      </w:pPr>
      <w:r w:rsidRPr="006355AF">
        <w:rPr>
          <w:rFonts w:ascii="Arial" w:hAnsi="Arial" w:cs="Arial"/>
          <w:sz w:val="20"/>
          <w:szCs w:val="20"/>
          <w:lang w:eastAsia="ja-JP"/>
        </w:rPr>
        <w:t>The development control plan must provide for all of the following –</w:t>
      </w:r>
    </w:p>
    <w:p w14:paraId="5503CBC9" w14:textId="52FAD897"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requirements as to the form and external appearance of proposed development so as to improve the quality and amenity of the public domain,</w:t>
      </w:r>
    </w:p>
    <w:p w14:paraId="0DADBB03" w14:textId="701F60CA" w:rsidR="00643DFF" w:rsidRPr="006355AF" w:rsidRDefault="00643DFF" w:rsidP="00FC567E">
      <w:pPr>
        <w:pStyle w:val="ListParagraph"/>
        <w:numPr>
          <w:ilvl w:val="1"/>
          <w:numId w:val="20"/>
        </w:numPr>
        <w:jc w:val="both"/>
        <w:rPr>
          <w:rFonts w:ascii="Arial" w:hAnsi="Arial" w:cs="Arial"/>
          <w:sz w:val="20"/>
          <w:szCs w:val="20"/>
          <w:lang w:eastAsia="ja-JP"/>
        </w:rPr>
      </w:pPr>
      <w:r w:rsidRPr="006355AF">
        <w:rPr>
          <w:rFonts w:ascii="Arial" w:hAnsi="Arial" w:cs="Arial"/>
          <w:sz w:val="20"/>
          <w:szCs w:val="20"/>
          <w:lang w:eastAsia="ja-JP"/>
        </w:rPr>
        <w:t>how proposed development addresses the following matters—</w:t>
      </w:r>
    </w:p>
    <w:p w14:paraId="5CEC0AA0" w14:textId="1D741D01"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suitability of the land for development,</w:t>
      </w:r>
    </w:p>
    <w:p w14:paraId="6660803A" w14:textId="7CA64892"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existing and proposed uses and use mix,</w:t>
      </w:r>
    </w:p>
    <w:p w14:paraId="1F2424B0" w14:textId="4329A576"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any heritage issues and streetscape constraints,</w:t>
      </w:r>
    </w:p>
    <w:p w14:paraId="48A031D4" w14:textId="3BF0F5C5"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location of any tower proposed, having regard to the need to achieve an acceptable relationship with other towers (existing or proposed) on the same site or on neighbouring sites in terms of separation, setbacks, amenity and urban form,</w:t>
      </w:r>
    </w:p>
    <w:p w14:paraId="44A46D34" w14:textId="656E1000"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bulk, massing and modulation of buildings,</w:t>
      </w:r>
    </w:p>
    <w:p w14:paraId="72FE3FE6" w14:textId="08E837EE"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street frontage heights,</w:t>
      </w:r>
    </w:p>
    <w:p w14:paraId="1EE65CDB" w14:textId="1679B43C"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environmental impacts, such as sustainable design, overshadowing and solar access, visual and acoustic privacy, noise, wind and reflectivity,</w:t>
      </w:r>
    </w:p>
    <w:p w14:paraId="0685129B" w14:textId="3EE5EC7E"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achievement of the principles of ecologically sustainable development,</w:t>
      </w:r>
    </w:p>
    <w:p w14:paraId="3A277E01" w14:textId="64B37DB3"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pedestrian, cycle, vehicular and service access and circulation requirements, including the permeability of any pedestrian network,</w:t>
      </w:r>
    </w:p>
    <w:p w14:paraId="1819C0F6" w14:textId="0404062B"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impact on, and any proposed improvements to, the public domain,</w:t>
      </w:r>
    </w:p>
    <w:p w14:paraId="2F0C539E" w14:textId="4B16285D"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impact on any character area,</w:t>
      </w:r>
    </w:p>
    <w:p w14:paraId="06F09B5C" w14:textId="532F3466"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achieving appropriate interface at ground level between the building and the public domain,</w:t>
      </w:r>
    </w:p>
    <w:p w14:paraId="5784CC6C" w14:textId="60174849"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excellence and integration of landscape design,</w:t>
      </w:r>
    </w:p>
    <w:p w14:paraId="1CA32753" w14:textId="6F66FC3D"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manage the interface with industrial uses and associated amenity impacts from their ongoing operation,</w:t>
      </w:r>
    </w:p>
    <w:p w14:paraId="3A2857B2" w14:textId="368BADA6" w:rsidR="00643DFF" w:rsidRPr="006355AF" w:rsidRDefault="00643DFF" w:rsidP="00FC567E">
      <w:pPr>
        <w:pStyle w:val="ListParagraph"/>
        <w:numPr>
          <w:ilvl w:val="2"/>
          <w:numId w:val="20"/>
        </w:numPr>
        <w:jc w:val="both"/>
        <w:rPr>
          <w:rFonts w:ascii="Arial" w:hAnsi="Arial" w:cs="Arial"/>
          <w:sz w:val="20"/>
          <w:szCs w:val="20"/>
          <w:lang w:eastAsia="ja-JP"/>
        </w:rPr>
      </w:pPr>
      <w:r w:rsidRPr="006355AF">
        <w:rPr>
          <w:rFonts w:ascii="Arial" w:hAnsi="Arial" w:cs="Arial"/>
          <w:sz w:val="20"/>
          <w:szCs w:val="20"/>
          <w:lang w:eastAsia="ja-JP"/>
        </w:rPr>
        <w:t>the incorporation of high quality public art into the fabric of buildings in the public domain or in other areas to which the public has access.</w:t>
      </w:r>
    </w:p>
    <w:p w14:paraId="38B91883" w14:textId="77777777" w:rsidR="00643DFF" w:rsidRPr="006355AF" w:rsidRDefault="00643DFF" w:rsidP="00643DFF">
      <w:pPr>
        <w:jc w:val="both"/>
        <w:rPr>
          <w:rFonts w:ascii="Arial" w:hAnsi="Arial" w:cs="Arial"/>
          <w:b/>
          <w:bCs/>
          <w:sz w:val="20"/>
          <w:szCs w:val="20"/>
          <w:lang w:eastAsia="ja-JP"/>
        </w:rPr>
      </w:pPr>
      <w:r w:rsidRPr="006355AF">
        <w:rPr>
          <w:rFonts w:ascii="Arial" w:hAnsi="Arial" w:cs="Arial"/>
          <w:b/>
          <w:bCs/>
          <w:sz w:val="20"/>
          <w:szCs w:val="20"/>
          <w:lang w:eastAsia="ja-JP"/>
        </w:rPr>
        <w:t>7.5AE Design excellence in Moore Point</w:t>
      </w:r>
    </w:p>
    <w:p w14:paraId="2FEE330E" w14:textId="42EAB7E7" w:rsidR="00643DFF" w:rsidRPr="00F3766D" w:rsidRDefault="00643DFF" w:rsidP="00FC567E">
      <w:pPr>
        <w:pStyle w:val="ListParagraph"/>
        <w:numPr>
          <w:ilvl w:val="1"/>
          <w:numId w:val="17"/>
        </w:numPr>
        <w:ind w:left="1077"/>
        <w:jc w:val="both"/>
        <w:rPr>
          <w:rFonts w:ascii="Arial" w:hAnsi="Arial" w:cs="Arial"/>
          <w:sz w:val="20"/>
          <w:szCs w:val="20"/>
          <w:lang w:eastAsia="ja-JP"/>
        </w:rPr>
      </w:pPr>
      <w:r w:rsidRPr="00F3766D">
        <w:rPr>
          <w:rFonts w:ascii="Arial" w:hAnsi="Arial" w:cs="Arial"/>
          <w:sz w:val="20"/>
          <w:szCs w:val="20"/>
          <w:lang w:eastAsia="ja-JP"/>
        </w:rPr>
        <w:t>The objective of this clause is to deliver the highest standard of architectural and urban design.</w:t>
      </w:r>
    </w:p>
    <w:p w14:paraId="60297547" w14:textId="7E1D5D78" w:rsidR="00643DFF" w:rsidRPr="00F3766D" w:rsidRDefault="00643DFF" w:rsidP="00FC567E">
      <w:pPr>
        <w:pStyle w:val="ListParagraph"/>
        <w:numPr>
          <w:ilvl w:val="1"/>
          <w:numId w:val="17"/>
        </w:numPr>
        <w:ind w:left="1077"/>
        <w:jc w:val="both"/>
        <w:rPr>
          <w:rFonts w:ascii="Arial" w:hAnsi="Arial" w:cs="Arial"/>
          <w:sz w:val="20"/>
          <w:szCs w:val="20"/>
          <w:lang w:eastAsia="ja-JP"/>
        </w:rPr>
      </w:pPr>
      <w:r w:rsidRPr="00F3766D">
        <w:rPr>
          <w:rFonts w:ascii="Arial" w:hAnsi="Arial" w:cs="Arial"/>
          <w:sz w:val="20"/>
          <w:szCs w:val="20"/>
          <w:lang w:eastAsia="ja-JP"/>
        </w:rPr>
        <w:t>Development consent must not be granted to development involving the construction of a new building or external alterations to an existing building in Moore Point unless the consent authority considers that the development exhibits design excellence.</w:t>
      </w:r>
    </w:p>
    <w:p w14:paraId="318512CA" w14:textId="786E70EC" w:rsidR="00643DFF" w:rsidRPr="00F3766D" w:rsidRDefault="00643DFF" w:rsidP="00FC567E">
      <w:pPr>
        <w:pStyle w:val="ListParagraph"/>
        <w:numPr>
          <w:ilvl w:val="1"/>
          <w:numId w:val="17"/>
        </w:numPr>
        <w:ind w:left="1077"/>
        <w:jc w:val="both"/>
        <w:rPr>
          <w:rFonts w:ascii="Arial" w:hAnsi="Arial" w:cs="Arial"/>
          <w:sz w:val="20"/>
          <w:szCs w:val="20"/>
          <w:lang w:eastAsia="ja-JP"/>
        </w:rPr>
      </w:pPr>
      <w:r w:rsidRPr="00F3766D">
        <w:rPr>
          <w:rFonts w:ascii="Arial" w:hAnsi="Arial" w:cs="Arial"/>
          <w:sz w:val="20"/>
          <w:szCs w:val="20"/>
          <w:lang w:eastAsia="ja-JP"/>
        </w:rPr>
        <w:lastRenderedPageBreak/>
        <w:t>In considering whether development exhibits design excellence, the consent authority must have regard to the following matters—</w:t>
      </w:r>
    </w:p>
    <w:p w14:paraId="592E9BBC" w14:textId="11D5AAAC" w:rsidR="00643DFF" w:rsidRPr="00F3766D" w:rsidRDefault="00643DFF" w:rsidP="00FC567E">
      <w:pPr>
        <w:pStyle w:val="ListParagraph"/>
        <w:numPr>
          <w:ilvl w:val="0"/>
          <w:numId w:val="21"/>
        </w:numPr>
        <w:jc w:val="both"/>
        <w:rPr>
          <w:rFonts w:ascii="Arial" w:hAnsi="Arial" w:cs="Arial"/>
          <w:sz w:val="20"/>
          <w:szCs w:val="20"/>
          <w:lang w:eastAsia="ja-JP"/>
        </w:rPr>
      </w:pPr>
      <w:r w:rsidRPr="00F3766D">
        <w:rPr>
          <w:rFonts w:ascii="Arial" w:hAnsi="Arial" w:cs="Arial"/>
          <w:sz w:val="20"/>
          <w:szCs w:val="20"/>
          <w:lang w:eastAsia="ja-JP"/>
        </w:rPr>
        <w:t>whether a high standard of architectural design, materials and detailing appropriate to the building type and location will be achieved,</w:t>
      </w:r>
    </w:p>
    <w:p w14:paraId="6C1958A8" w14:textId="458161F4" w:rsidR="00643DFF" w:rsidRPr="00F3766D" w:rsidRDefault="00643DFF" w:rsidP="00FC567E">
      <w:pPr>
        <w:pStyle w:val="ListParagraph"/>
        <w:numPr>
          <w:ilvl w:val="0"/>
          <w:numId w:val="21"/>
        </w:numPr>
        <w:jc w:val="both"/>
        <w:rPr>
          <w:rFonts w:ascii="Arial" w:hAnsi="Arial" w:cs="Arial"/>
          <w:sz w:val="20"/>
          <w:szCs w:val="20"/>
          <w:lang w:eastAsia="ja-JP"/>
        </w:rPr>
      </w:pPr>
      <w:r w:rsidRPr="00F3766D">
        <w:rPr>
          <w:rFonts w:ascii="Arial" w:hAnsi="Arial" w:cs="Arial"/>
          <w:sz w:val="20"/>
          <w:szCs w:val="20"/>
          <w:lang w:eastAsia="ja-JP"/>
        </w:rPr>
        <w:t>whether the form and external appearance of the proposed development will improve the quality and amenity of the public domain,</w:t>
      </w:r>
    </w:p>
    <w:p w14:paraId="236B0B4F" w14:textId="48DDD081" w:rsidR="00643DFF" w:rsidRPr="00F3766D" w:rsidRDefault="00643DFF" w:rsidP="00FC567E">
      <w:pPr>
        <w:pStyle w:val="ListParagraph"/>
        <w:numPr>
          <w:ilvl w:val="0"/>
          <w:numId w:val="21"/>
        </w:numPr>
        <w:jc w:val="both"/>
        <w:rPr>
          <w:rFonts w:ascii="Arial" w:hAnsi="Arial" w:cs="Arial"/>
          <w:sz w:val="20"/>
          <w:szCs w:val="20"/>
          <w:lang w:eastAsia="ja-JP"/>
        </w:rPr>
      </w:pPr>
      <w:r w:rsidRPr="00F3766D">
        <w:rPr>
          <w:rFonts w:ascii="Arial" w:hAnsi="Arial" w:cs="Arial"/>
          <w:sz w:val="20"/>
          <w:szCs w:val="20"/>
          <w:lang w:eastAsia="ja-JP"/>
        </w:rPr>
        <w:t>whether the proposed development detrimentally overshadows the Georges River foreshore,</w:t>
      </w:r>
    </w:p>
    <w:p w14:paraId="5C9DAD4A" w14:textId="1B87E684" w:rsidR="00643DFF" w:rsidRPr="00F3766D" w:rsidRDefault="00643DFF" w:rsidP="00FC567E">
      <w:pPr>
        <w:pStyle w:val="ListParagraph"/>
        <w:numPr>
          <w:ilvl w:val="0"/>
          <w:numId w:val="21"/>
        </w:numPr>
        <w:jc w:val="both"/>
        <w:rPr>
          <w:rFonts w:ascii="Arial" w:hAnsi="Arial" w:cs="Arial"/>
          <w:sz w:val="20"/>
          <w:szCs w:val="20"/>
          <w:lang w:eastAsia="ja-JP"/>
        </w:rPr>
      </w:pPr>
      <w:r w:rsidRPr="00F3766D">
        <w:rPr>
          <w:rFonts w:ascii="Arial" w:hAnsi="Arial" w:cs="Arial"/>
          <w:sz w:val="20"/>
          <w:szCs w:val="20"/>
          <w:lang w:eastAsia="ja-JP"/>
        </w:rPr>
        <w:t>any relevant requirements of applicable development control plans,</w:t>
      </w:r>
    </w:p>
    <w:p w14:paraId="280DD6B0" w14:textId="24DF5A32" w:rsidR="00643DFF" w:rsidRPr="00F3766D" w:rsidRDefault="00643DFF" w:rsidP="00FC567E">
      <w:pPr>
        <w:pStyle w:val="ListParagraph"/>
        <w:numPr>
          <w:ilvl w:val="0"/>
          <w:numId w:val="21"/>
        </w:numPr>
        <w:jc w:val="both"/>
        <w:rPr>
          <w:rFonts w:ascii="Arial" w:hAnsi="Arial" w:cs="Arial"/>
          <w:sz w:val="20"/>
          <w:szCs w:val="20"/>
          <w:lang w:eastAsia="ja-JP"/>
        </w:rPr>
      </w:pPr>
      <w:r w:rsidRPr="00F3766D">
        <w:rPr>
          <w:rFonts w:ascii="Arial" w:hAnsi="Arial" w:cs="Arial"/>
          <w:sz w:val="20"/>
          <w:szCs w:val="20"/>
          <w:lang w:eastAsia="ja-JP"/>
        </w:rPr>
        <w:t>how the proposed development addresses the following matters—</w:t>
      </w:r>
    </w:p>
    <w:p w14:paraId="35F1D982" w14:textId="41AB18C4"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the suitability of the site for development,</w:t>
      </w:r>
    </w:p>
    <w:p w14:paraId="1A321337" w14:textId="1D64ACDE"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existing and proposed uses and use mix,</w:t>
      </w:r>
    </w:p>
    <w:p w14:paraId="0E17E74C" w14:textId="00A64804"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heritage issues and streetscape constraints,</w:t>
      </w:r>
    </w:p>
    <w:p w14:paraId="4610F892" w14:textId="604F340F"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the location of any tower proposed, having regard to the need to achieve an acceptable relationship with other towers (existing or proposed) on the same site or on neighbouring sites in terms of separation, setbacks, amenity and urban form,</w:t>
      </w:r>
    </w:p>
    <w:p w14:paraId="141CC817" w14:textId="63595AC8"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bulk, massing and modulation of buildings,</w:t>
      </w:r>
    </w:p>
    <w:p w14:paraId="2F34E609" w14:textId="702982FE"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street frontage heights,</w:t>
      </w:r>
    </w:p>
    <w:p w14:paraId="1B69AC48" w14:textId="1A286C9A"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environmental impacts such as sustainable design, overshadowing, wind and reflectivity,</w:t>
      </w:r>
    </w:p>
    <w:p w14:paraId="400304CC" w14:textId="596E4FF6"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the achievement of the principles of ecologically sustainable development,</w:t>
      </w:r>
    </w:p>
    <w:p w14:paraId="4EDBDA41" w14:textId="79C201E5"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manage the interface with industrial uses and associated amenity impacts from their ongoing operation,</w:t>
      </w:r>
    </w:p>
    <w:p w14:paraId="6350C8C7" w14:textId="1D0F6F41"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pedestrian, cycle, vehicular and service access, circulation and requirements,</w:t>
      </w:r>
    </w:p>
    <w:p w14:paraId="2D3359FA" w14:textId="6F71C134" w:rsidR="00643DFF" w:rsidRPr="00F3766D" w:rsidRDefault="00643DFF" w:rsidP="00FC567E">
      <w:pPr>
        <w:pStyle w:val="ListParagraph"/>
        <w:numPr>
          <w:ilvl w:val="0"/>
          <w:numId w:val="22"/>
        </w:numPr>
        <w:jc w:val="both"/>
        <w:rPr>
          <w:rFonts w:ascii="Arial" w:hAnsi="Arial" w:cs="Arial"/>
          <w:sz w:val="20"/>
          <w:szCs w:val="20"/>
          <w:lang w:eastAsia="ja-JP"/>
        </w:rPr>
      </w:pPr>
      <w:r w:rsidRPr="00F3766D">
        <w:rPr>
          <w:rFonts w:ascii="Arial" w:hAnsi="Arial" w:cs="Arial"/>
          <w:sz w:val="20"/>
          <w:szCs w:val="20"/>
          <w:lang w:eastAsia="ja-JP"/>
        </w:rPr>
        <w:t>the impact on, and any proposed improvements to, the public domain.</w:t>
      </w:r>
    </w:p>
    <w:p w14:paraId="2B0E9657" w14:textId="30130690" w:rsidR="00F3766D" w:rsidRPr="00F3766D" w:rsidRDefault="00643DFF" w:rsidP="00643DFF">
      <w:pPr>
        <w:jc w:val="both"/>
        <w:rPr>
          <w:rFonts w:ascii="Arial" w:hAnsi="Arial" w:cs="Arial"/>
          <w:b/>
          <w:bCs/>
          <w:sz w:val="20"/>
          <w:szCs w:val="20"/>
          <w:lang w:eastAsia="ja-JP"/>
        </w:rPr>
      </w:pPr>
      <w:r w:rsidRPr="00F3766D">
        <w:rPr>
          <w:rFonts w:ascii="Arial" w:hAnsi="Arial" w:cs="Arial"/>
          <w:b/>
          <w:bCs/>
          <w:sz w:val="20"/>
          <w:szCs w:val="20"/>
          <w:lang w:eastAsia="ja-JP"/>
        </w:rPr>
        <w:t>7.5AF Overshadowing of certain public spaces</w:t>
      </w:r>
    </w:p>
    <w:p w14:paraId="4110F90B" w14:textId="2F37CB7F" w:rsidR="00643DFF" w:rsidRPr="00F3766D" w:rsidRDefault="00643DFF" w:rsidP="00FC567E">
      <w:pPr>
        <w:pStyle w:val="ListParagraph"/>
        <w:numPr>
          <w:ilvl w:val="0"/>
          <w:numId w:val="23"/>
        </w:numPr>
        <w:jc w:val="both"/>
        <w:rPr>
          <w:rFonts w:ascii="Arial" w:hAnsi="Arial" w:cs="Arial"/>
          <w:sz w:val="20"/>
          <w:szCs w:val="20"/>
          <w:lang w:eastAsia="ja-JP"/>
        </w:rPr>
      </w:pPr>
      <w:r w:rsidRPr="00F3766D">
        <w:rPr>
          <w:rFonts w:ascii="Arial" w:hAnsi="Arial" w:cs="Arial"/>
          <w:sz w:val="20"/>
          <w:szCs w:val="20"/>
          <w:lang w:eastAsia="ja-JP"/>
        </w:rPr>
        <w:t>The objective of this clause is to protect specific public space from excessive overshadowing along the Georges River Foreshore.</w:t>
      </w:r>
    </w:p>
    <w:p w14:paraId="432EE015" w14:textId="5EE0AD79" w:rsidR="00643DFF" w:rsidRPr="00F3766D" w:rsidRDefault="00643DFF" w:rsidP="00FC567E">
      <w:pPr>
        <w:pStyle w:val="ListParagraph"/>
        <w:numPr>
          <w:ilvl w:val="0"/>
          <w:numId w:val="23"/>
        </w:numPr>
        <w:jc w:val="both"/>
        <w:rPr>
          <w:rFonts w:ascii="Arial" w:hAnsi="Arial" w:cs="Arial"/>
          <w:sz w:val="20"/>
          <w:szCs w:val="20"/>
          <w:lang w:eastAsia="ja-JP"/>
        </w:rPr>
      </w:pPr>
      <w:r w:rsidRPr="00F3766D">
        <w:rPr>
          <w:rFonts w:ascii="Arial" w:hAnsi="Arial" w:cs="Arial"/>
          <w:sz w:val="20"/>
          <w:szCs w:val="20"/>
          <w:lang w:eastAsia="ja-JP"/>
        </w:rPr>
        <w:t>The consent authority must not grant consent to development on any land unless it is satisfied</w:t>
      </w:r>
      <w:r w:rsidR="00F3766D">
        <w:rPr>
          <w:rFonts w:ascii="Arial" w:hAnsi="Arial" w:cs="Arial"/>
          <w:sz w:val="20"/>
          <w:szCs w:val="20"/>
          <w:lang w:eastAsia="ja-JP"/>
        </w:rPr>
        <w:t xml:space="preserve"> </w:t>
      </w:r>
      <w:r w:rsidRPr="00F3766D">
        <w:rPr>
          <w:rFonts w:ascii="Arial" w:hAnsi="Arial" w:cs="Arial"/>
          <w:sz w:val="20"/>
          <w:szCs w:val="20"/>
          <w:lang w:eastAsia="ja-JP"/>
        </w:rPr>
        <w:t>that the development will not result in any net additional overshadowing between 11am and 1pm mid-winter, on the Georges River, shown in blue hatching on the Special Provisions Area Map.</w:t>
      </w:r>
    </w:p>
    <w:p w14:paraId="182E6B9E" w14:textId="137C429A" w:rsidR="00643DFF" w:rsidRPr="00EA3706" w:rsidRDefault="00643DFF" w:rsidP="00643DFF">
      <w:pPr>
        <w:jc w:val="both"/>
        <w:rPr>
          <w:rFonts w:ascii="Arial" w:hAnsi="Arial" w:cs="Arial"/>
          <w:b/>
          <w:bCs/>
          <w:color w:val="7030A0"/>
          <w:sz w:val="20"/>
          <w:szCs w:val="20"/>
          <w:lang w:eastAsia="ja-JP"/>
        </w:rPr>
      </w:pPr>
      <w:r w:rsidRPr="00EA3706">
        <w:rPr>
          <w:rFonts w:ascii="Arial" w:hAnsi="Arial" w:cs="Arial"/>
          <w:b/>
          <w:bCs/>
          <w:color w:val="7030A0"/>
          <w:sz w:val="20"/>
          <w:szCs w:val="20"/>
          <w:lang w:eastAsia="ja-JP"/>
        </w:rPr>
        <w:t xml:space="preserve">Schedule 1 Additional Permitted Uses </w:t>
      </w:r>
    </w:p>
    <w:p w14:paraId="47E34232" w14:textId="11193307" w:rsidR="00643DFF" w:rsidRPr="00643DFF" w:rsidRDefault="00643DFF" w:rsidP="00643DFF">
      <w:pPr>
        <w:jc w:val="both"/>
        <w:rPr>
          <w:rFonts w:ascii="Arial" w:hAnsi="Arial" w:cs="Arial"/>
          <w:sz w:val="20"/>
          <w:szCs w:val="20"/>
          <w:lang w:eastAsia="ja-JP"/>
        </w:rPr>
      </w:pPr>
      <w:r w:rsidRPr="00643DFF">
        <w:rPr>
          <w:rFonts w:ascii="Arial" w:hAnsi="Arial" w:cs="Arial"/>
          <w:sz w:val="20"/>
          <w:szCs w:val="20"/>
          <w:lang w:eastAsia="ja-JP"/>
        </w:rPr>
        <w:t>In recognition of the precinct</w:t>
      </w:r>
      <w:r w:rsidR="007D0C53">
        <w:rPr>
          <w:rFonts w:ascii="Arial" w:hAnsi="Arial" w:cs="Arial"/>
          <w:sz w:val="20"/>
          <w:szCs w:val="20"/>
          <w:lang w:eastAsia="ja-JP"/>
        </w:rPr>
        <w:t>’</w:t>
      </w:r>
      <w:r w:rsidRPr="00643DFF">
        <w:rPr>
          <w:rFonts w:ascii="Arial" w:hAnsi="Arial" w:cs="Arial"/>
          <w:sz w:val="20"/>
          <w:szCs w:val="20"/>
          <w:lang w:eastAsia="ja-JP"/>
        </w:rPr>
        <w:t xml:space="preserve">s long-term staging, it is proposed to enable the continuation of industrial related uses as the precinct develops. This will conserve existing consents over the lifecycle without creating issues regarding existing use rights. </w:t>
      </w:r>
    </w:p>
    <w:p w14:paraId="746F6209" w14:textId="77777777" w:rsidR="00643DFF" w:rsidRPr="00643DFF" w:rsidRDefault="00643DFF" w:rsidP="00643DFF">
      <w:pPr>
        <w:jc w:val="both"/>
        <w:rPr>
          <w:rFonts w:ascii="Arial" w:hAnsi="Arial" w:cs="Arial"/>
          <w:sz w:val="20"/>
          <w:szCs w:val="20"/>
          <w:lang w:eastAsia="ja-JP"/>
        </w:rPr>
      </w:pPr>
      <w:r w:rsidRPr="00643DFF">
        <w:rPr>
          <w:rFonts w:ascii="Arial" w:hAnsi="Arial" w:cs="Arial"/>
          <w:sz w:val="20"/>
          <w:szCs w:val="20"/>
          <w:lang w:eastAsia="ja-JP"/>
        </w:rPr>
        <w:t>As such, a new subclause is proposed to Schedule 1 with the following wording suggested.</w:t>
      </w:r>
    </w:p>
    <w:p w14:paraId="7010E65B" w14:textId="77777777" w:rsidR="00643DFF" w:rsidRPr="00643DFF" w:rsidRDefault="00643DFF" w:rsidP="00643DFF">
      <w:pPr>
        <w:jc w:val="both"/>
        <w:rPr>
          <w:rFonts w:ascii="Arial" w:hAnsi="Arial" w:cs="Arial"/>
          <w:sz w:val="20"/>
          <w:szCs w:val="20"/>
          <w:lang w:eastAsia="ja-JP"/>
        </w:rPr>
      </w:pPr>
      <w:r w:rsidRPr="00643DFF">
        <w:rPr>
          <w:rFonts w:ascii="Arial" w:hAnsi="Arial" w:cs="Arial"/>
          <w:sz w:val="20"/>
          <w:szCs w:val="20"/>
          <w:lang w:eastAsia="ja-JP"/>
        </w:rPr>
        <w:t>Use of certain land at Moore Point in zone B4 and B6</w:t>
      </w:r>
    </w:p>
    <w:p w14:paraId="53623143" w14:textId="77777777" w:rsidR="00643DFF" w:rsidRPr="00643DFF" w:rsidRDefault="00643DFF" w:rsidP="00AD428D">
      <w:pPr>
        <w:ind w:left="720"/>
        <w:jc w:val="both"/>
        <w:rPr>
          <w:rFonts w:ascii="Arial" w:hAnsi="Arial" w:cs="Arial"/>
          <w:sz w:val="20"/>
          <w:szCs w:val="20"/>
          <w:lang w:eastAsia="ja-JP"/>
        </w:rPr>
      </w:pPr>
      <w:r w:rsidRPr="00643DFF">
        <w:rPr>
          <w:rFonts w:ascii="Arial" w:hAnsi="Arial" w:cs="Arial"/>
          <w:sz w:val="20"/>
          <w:szCs w:val="20"/>
          <w:lang w:eastAsia="ja-JP"/>
        </w:rPr>
        <w:t>(1)</w:t>
      </w:r>
      <w:r w:rsidRPr="00643DFF">
        <w:rPr>
          <w:rFonts w:ascii="Arial" w:hAnsi="Arial" w:cs="Arial"/>
          <w:sz w:val="20"/>
          <w:szCs w:val="20"/>
          <w:lang w:eastAsia="ja-JP"/>
        </w:rPr>
        <w:tab/>
        <w:t>This clause applies to B4 and B6 land in Moore Point</w:t>
      </w:r>
    </w:p>
    <w:p w14:paraId="7908A915" w14:textId="77777777" w:rsidR="00643DFF" w:rsidRPr="00643DFF" w:rsidRDefault="00643DFF" w:rsidP="00AD428D">
      <w:pPr>
        <w:ind w:left="720"/>
        <w:jc w:val="both"/>
        <w:rPr>
          <w:rFonts w:ascii="Arial" w:hAnsi="Arial" w:cs="Arial"/>
          <w:sz w:val="20"/>
          <w:szCs w:val="20"/>
          <w:lang w:eastAsia="ja-JP"/>
        </w:rPr>
      </w:pPr>
      <w:r w:rsidRPr="00643DFF">
        <w:rPr>
          <w:rFonts w:ascii="Arial" w:hAnsi="Arial" w:cs="Arial"/>
          <w:sz w:val="20"/>
          <w:szCs w:val="20"/>
          <w:lang w:eastAsia="ja-JP"/>
        </w:rPr>
        <w:t>(2)</w:t>
      </w:r>
      <w:r w:rsidRPr="00643DFF">
        <w:rPr>
          <w:rFonts w:ascii="Arial" w:hAnsi="Arial" w:cs="Arial"/>
          <w:sz w:val="20"/>
          <w:szCs w:val="20"/>
          <w:lang w:eastAsia="ja-JP"/>
        </w:rPr>
        <w:tab/>
        <w:t>The objective of this clause is to permit industrial uses as Moore Point transitions from industrial to mixed use and residential land uses.</w:t>
      </w:r>
    </w:p>
    <w:p w14:paraId="5C4B9159" w14:textId="78132CDB" w:rsidR="00643DFF" w:rsidRPr="00643DFF" w:rsidRDefault="00643DFF" w:rsidP="00AD428D">
      <w:pPr>
        <w:ind w:left="720"/>
        <w:jc w:val="both"/>
        <w:rPr>
          <w:rFonts w:ascii="Arial" w:hAnsi="Arial" w:cs="Arial"/>
          <w:sz w:val="20"/>
          <w:szCs w:val="20"/>
          <w:lang w:eastAsia="ja-JP"/>
        </w:rPr>
      </w:pPr>
      <w:r w:rsidRPr="00643DFF">
        <w:rPr>
          <w:rFonts w:ascii="Arial" w:hAnsi="Arial" w:cs="Arial"/>
          <w:sz w:val="20"/>
          <w:szCs w:val="20"/>
          <w:lang w:eastAsia="ja-JP"/>
        </w:rPr>
        <w:t>(3)</w:t>
      </w:r>
      <w:r w:rsidRPr="00643DFF">
        <w:rPr>
          <w:rFonts w:ascii="Arial" w:hAnsi="Arial" w:cs="Arial"/>
          <w:sz w:val="20"/>
          <w:szCs w:val="20"/>
          <w:lang w:eastAsia="ja-JP"/>
        </w:rPr>
        <w:tab/>
        <w:t>Development for the purposes of ‘light industry’, ‘general industry’ and ‘warehouse or distribution centres</w:t>
      </w:r>
      <w:r w:rsidR="006D3198">
        <w:rPr>
          <w:rFonts w:ascii="Arial" w:hAnsi="Arial" w:cs="Arial"/>
          <w:sz w:val="20"/>
          <w:szCs w:val="20"/>
          <w:lang w:eastAsia="ja-JP"/>
        </w:rPr>
        <w:t>’</w:t>
      </w:r>
      <w:r w:rsidRPr="00643DFF">
        <w:rPr>
          <w:rFonts w:ascii="Arial" w:hAnsi="Arial" w:cs="Arial"/>
          <w:sz w:val="20"/>
          <w:szCs w:val="20"/>
          <w:lang w:eastAsia="ja-JP"/>
        </w:rPr>
        <w:t xml:space="preserve"> are permitted with consent. </w:t>
      </w:r>
    </w:p>
    <w:p w14:paraId="226E0018" w14:textId="5A13F3F3" w:rsidR="005131E8" w:rsidRPr="001133A9" w:rsidRDefault="00643DFF" w:rsidP="00AD428D">
      <w:pPr>
        <w:ind w:left="720"/>
        <w:jc w:val="both"/>
        <w:rPr>
          <w:rFonts w:ascii="Arial" w:eastAsiaTheme="minorEastAsia" w:hAnsi="Arial" w:cs="Arial"/>
          <w:iCs/>
          <w:sz w:val="20"/>
          <w:szCs w:val="20"/>
          <w:lang w:val="en-AU" w:eastAsia="ja-JP"/>
        </w:rPr>
      </w:pPr>
      <w:r w:rsidRPr="00643DFF">
        <w:rPr>
          <w:rFonts w:ascii="Arial" w:hAnsi="Arial" w:cs="Arial"/>
          <w:sz w:val="20"/>
          <w:szCs w:val="20"/>
          <w:lang w:eastAsia="ja-JP"/>
        </w:rPr>
        <w:lastRenderedPageBreak/>
        <w:t>(4)</w:t>
      </w:r>
      <w:r w:rsidRPr="00643DFF">
        <w:rPr>
          <w:rFonts w:ascii="Arial" w:hAnsi="Arial" w:cs="Arial"/>
          <w:sz w:val="20"/>
          <w:szCs w:val="20"/>
          <w:lang w:eastAsia="ja-JP"/>
        </w:rPr>
        <w:tab/>
        <w:t>Clauses 7.5 AD and 7.5AE do not apply to development subject to this clause.</w:t>
      </w:r>
      <w:r w:rsidR="005131E8" w:rsidRPr="001133A9">
        <w:rPr>
          <w:rFonts w:ascii="Arial" w:hAnsi="Arial" w:cs="Arial"/>
          <w:sz w:val="20"/>
          <w:szCs w:val="20"/>
          <w:lang w:eastAsia="ja-JP"/>
        </w:rPr>
        <w:br w:type="page"/>
      </w:r>
    </w:p>
    <w:p w14:paraId="36FB840E" w14:textId="30ABC951" w:rsidR="00B01AB2" w:rsidRPr="00AA3CA3" w:rsidRDefault="00B01AB2" w:rsidP="005A5C1D">
      <w:pPr>
        <w:pStyle w:val="Body-Black"/>
        <w:rPr>
          <w:sz w:val="14"/>
          <w:szCs w:val="14"/>
          <w:lang w:eastAsia="ja-JP"/>
        </w:rPr>
        <w:sectPr w:rsidR="00B01AB2" w:rsidRPr="00AA3CA3" w:rsidSect="00830291">
          <w:footerReference w:type="default" r:id="rId24"/>
          <w:pgSz w:w="11906" w:h="16838"/>
          <w:pgMar w:top="1440" w:right="1440" w:bottom="1440" w:left="1440" w:header="709" w:footer="709" w:gutter="0"/>
          <w:cols w:space="720" w:equalWidth="0">
            <w:col w:w="9360"/>
          </w:cols>
          <w:docGrid w:linePitch="360"/>
        </w:sectPr>
      </w:pPr>
    </w:p>
    <w:p w14:paraId="6BEF595B" w14:textId="7C983DCA" w:rsidR="00E645EF" w:rsidRPr="00851E9E" w:rsidRDefault="00E645EF" w:rsidP="004F5AA0">
      <w:pPr>
        <w:pStyle w:val="Heading-Purple"/>
        <w:spacing w:line="276" w:lineRule="auto"/>
        <w:rPr>
          <w:lang w:eastAsia="ja-JP"/>
        </w:rPr>
      </w:pPr>
      <w:bookmarkStart w:id="20" w:name="_Toc59014420"/>
      <w:r w:rsidRPr="00851E9E">
        <w:rPr>
          <w:lang w:eastAsia="ja-JP"/>
        </w:rPr>
        <w:lastRenderedPageBreak/>
        <w:t>Part 3 – Justification</w:t>
      </w:r>
      <w:bookmarkEnd w:id="20"/>
    </w:p>
    <w:p w14:paraId="030A0376" w14:textId="65D42322" w:rsidR="006B250A" w:rsidRDefault="006B250A" w:rsidP="004F5AA0">
      <w:pPr>
        <w:pStyle w:val="Sub-Heading1-Purple"/>
        <w:spacing w:line="276" w:lineRule="auto"/>
        <w:rPr>
          <w:lang w:eastAsia="ja-JP"/>
        </w:rPr>
      </w:pPr>
    </w:p>
    <w:p w14:paraId="4BAFF20A" w14:textId="3BC41F17" w:rsidR="003E3005" w:rsidRPr="003E3005" w:rsidRDefault="003E3005" w:rsidP="003E3005">
      <w:pPr>
        <w:pStyle w:val="Body-Black"/>
        <w:rPr>
          <w:lang w:eastAsia="ja-JP"/>
        </w:rPr>
      </w:pPr>
      <w:r w:rsidRPr="003E3005">
        <w:rPr>
          <w:lang w:eastAsia="ja-JP"/>
        </w:rPr>
        <w:t>This section addresses the specific questions which “must be discussed with reasons explained”, as set out in Part 3 of the NSW Department of Planning</w:t>
      </w:r>
      <w:r w:rsidR="00EB54E2">
        <w:rPr>
          <w:lang w:eastAsia="ja-JP"/>
        </w:rPr>
        <w:t xml:space="preserve">, </w:t>
      </w:r>
      <w:r w:rsidR="007E4327">
        <w:rPr>
          <w:lang w:eastAsia="ja-JP"/>
        </w:rPr>
        <w:t>Industry a</w:t>
      </w:r>
      <w:r w:rsidR="00EB54E2">
        <w:rPr>
          <w:lang w:eastAsia="ja-JP"/>
        </w:rPr>
        <w:t xml:space="preserve">nd Environment’s </w:t>
      </w:r>
      <w:r w:rsidRPr="003E3005">
        <w:rPr>
          <w:lang w:eastAsia="ja-JP"/>
        </w:rPr>
        <w:t>publication: A Guide to Preparing Planning Proposals. This section will review the proposed amendments to the Liverpool Local Environmental Plan 2008 and addresses specific questions outlined in the guide, which are separated into sections A to D.</w:t>
      </w:r>
    </w:p>
    <w:p w14:paraId="1654BC9A" w14:textId="77777777" w:rsidR="003E3005" w:rsidRDefault="003E3005" w:rsidP="004F5AA0">
      <w:pPr>
        <w:pStyle w:val="Sub-Heading1-Purple"/>
        <w:spacing w:line="276" w:lineRule="auto"/>
        <w:rPr>
          <w:lang w:eastAsia="ja-JP"/>
        </w:rPr>
      </w:pPr>
    </w:p>
    <w:p w14:paraId="5843DDE3" w14:textId="6499649B" w:rsidR="00E645EF" w:rsidRDefault="00A722E2" w:rsidP="004F5AA0">
      <w:pPr>
        <w:pStyle w:val="Sub-Heading1-Purple"/>
        <w:spacing w:line="276" w:lineRule="auto"/>
        <w:rPr>
          <w:lang w:eastAsia="ja-JP"/>
        </w:rPr>
      </w:pPr>
      <w:bookmarkStart w:id="21" w:name="_Toc59014421"/>
      <w:r w:rsidRPr="00851E9E">
        <w:rPr>
          <w:lang w:eastAsia="ja-JP"/>
        </w:rPr>
        <w:t>Section A – Need for the planning proposal</w:t>
      </w:r>
      <w:bookmarkEnd w:id="21"/>
    </w:p>
    <w:p w14:paraId="01F01E91" w14:textId="77777777" w:rsidR="00EB54E2" w:rsidRPr="00851E9E" w:rsidRDefault="00EB54E2" w:rsidP="004F5AA0">
      <w:pPr>
        <w:pStyle w:val="Sub-Heading1-Purple"/>
        <w:spacing w:line="276" w:lineRule="auto"/>
        <w:rPr>
          <w:lang w:eastAsia="ja-JP"/>
        </w:rPr>
      </w:pPr>
    </w:p>
    <w:p w14:paraId="3EA4219C" w14:textId="448DC3A3" w:rsidR="00A722E2" w:rsidRPr="00851E9E" w:rsidRDefault="00B40556" w:rsidP="004F5AA0">
      <w:pPr>
        <w:pStyle w:val="Sub-Heading2-Purple"/>
        <w:numPr>
          <w:ilvl w:val="0"/>
          <w:numId w:val="1"/>
        </w:numPr>
        <w:spacing w:line="276" w:lineRule="auto"/>
        <w:rPr>
          <w:lang w:eastAsia="ja-JP"/>
        </w:rPr>
      </w:pPr>
      <w:r w:rsidRPr="00B40556">
        <w:rPr>
          <w:iCs/>
          <w:lang w:val="en-US" w:eastAsia="ja-JP"/>
        </w:rPr>
        <w:t>Is the planning proposal a result of an endorsed local strategic planning statement, strategic study or report?</w:t>
      </w:r>
    </w:p>
    <w:p w14:paraId="16598E55" w14:textId="1F931AE4" w:rsidR="004B7CAA" w:rsidRPr="004B7CAA" w:rsidRDefault="004B7CAA" w:rsidP="004B7CAA">
      <w:pPr>
        <w:pStyle w:val="Body-Black"/>
        <w:rPr>
          <w:lang w:eastAsia="ja-JP"/>
        </w:rPr>
      </w:pPr>
      <w:r w:rsidRPr="004B7CAA">
        <w:rPr>
          <w:lang w:eastAsia="ja-JP"/>
        </w:rPr>
        <w:t>The Planning Proposal is the direct result of a range of strategic planning studies including the Place Strategy and LSPS. These st</w:t>
      </w:r>
      <w:r w:rsidR="00192E82">
        <w:rPr>
          <w:lang w:eastAsia="ja-JP"/>
        </w:rPr>
        <w:t xml:space="preserve">rategies </w:t>
      </w:r>
      <w:r w:rsidRPr="004B7CAA">
        <w:rPr>
          <w:lang w:eastAsia="ja-JP"/>
        </w:rPr>
        <w:t xml:space="preserve">provide a clear strategic line of sight aimed at the successful transformation of Liverpool CBD eastwards and the regeneration of Moorebank. Overall, it reflects strong strategic and site-specific merit to facilitate land use change. </w:t>
      </w:r>
    </w:p>
    <w:p w14:paraId="026DD395" w14:textId="2461EDDD" w:rsidR="004B7CAA" w:rsidRDefault="004B7CAA" w:rsidP="004B7CAA">
      <w:pPr>
        <w:pStyle w:val="Body-Black"/>
        <w:rPr>
          <w:lang w:eastAsia="ja-JP"/>
        </w:rPr>
      </w:pPr>
      <w:r w:rsidRPr="004B7CAA">
        <w:rPr>
          <w:lang w:eastAsia="ja-JP"/>
        </w:rPr>
        <w:t xml:space="preserve">Moore Point </w:t>
      </w:r>
      <w:r>
        <w:rPr>
          <w:lang w:eastAsia="ja-JP"/>
        </w:rPr>
        <w:t>i</w:t>
      </w:r>
      <w:r w:rsidRPr="004B7CAA">
        <w:rPr>
          <w:lang w:eastAsia="ja-JP"/>
        </w:rPr>
        <w:t xml:space="preserve">s an extension of Liverpool CBD realised in 2008 through the creation of LLEP 2008 and the inclusion of land north of Newbridge Road and west of Bridge Road under Division 1 – Liverpool city centre. </w:t>
      </w:r>
    </w:p>
    <w:p w14:paraId="372E7C96" w14:textId="77777777" w:rsidR="00D467C0" w:rsidRPr="00D467C0" w:rsidRDefault="00D467C0" w:rsidP="00D467C0">
      <w:pPr>
        <w:pStyle w:val="Body-Black"/>
        <w:rPr>
          <w:u w:val="single"/>
          <w:lang w:eastAsia="ja-JP" w:bidi="en-US"/>
        </w:rPr>
      </w:pPr>
      <w:r w:rsidRPr="00D467C0">
        <w:rPr>
          <w:u w:val="single"/>
          <w:lang w:eastAsia="ja-JP" w:bidi="en-US"/>
        </w:rPr>
        <w:t>Place Strategy</w:t>
      </w:r>
    </w:p>
    <w:p w14:paraId="0D6E558C" w14:textId="77777777" w:rsidR="00D467C0" w:rsidRPr="00D467C0" w:rsidRDefault="00D467C0" w:rsidP="00D467C0">
      <w:pPr>
        <w:pStyle w:val="Body-Black"/>
        <w:rPr>
          <w:lang w:eastAsia="ja-JP" w:bidi="en-US"/>
        </w:rPr>
      </w:pPr>
      <w:r w:rsidRPr="00D467C0">
        <w:rPr>
          <w:lang w:eastAsia="ja-JP" w:bidi="en-US"/>
        </w:rPr>
        <w:t xml:space="preserve">The Place Strategy acknowledges Liverpool’s complex challenges including the provision of new local amenity along the Georges River, constrained road networks, lack of sequencing and coordination associated with planning proposals and market interests in new residential development. </w:t>
      </w:r>
    </w:p>
    <w:p w14:paraId="5CD4812C" w14:textId="77777777" w:rsidR="00D467C0" w:rsidRPr="00D467C0" w:rsidRDefault="00D467C0" w:rsidP="00D467C0">
      <w:pPr>
        <w:pStyle w:val="Body-Black"/>
        <w:rPr>
          <w:lang w:eastAsia="ja-JP" w:bidi="en-US"/>
        </w:rPr>
      </w:pPr>
      <w:r w:rsidRPr="00D467C0">
        <w:rPr>
          <w:lang w:eastAsia="ja-JP" w:bidi="en-US"/>
        </w:rPr>
        <w:t>The site is situated within the Georges River North Precinct, which is identified as ‘mixed use’. The mixed use area is defined as:</w:t>
      </w:r>
    </w:p>
    <w:p w14:paraId="5F6C605B" w14:textId="77777777" w:rsidR="00D467C0" w:rsidRPr="00D467C0" w:rsidRDefault="00D467C0" w:rsidP="00D467C0">
      <w:pPr>
        <w:pStyle w:val="Body-Black"/>
        <w:rPr>
          <w:lang w:eastAsia="ja-JP" w:bidi="en-US"/>
        </w:rPr>
      </w:pPr>
      <w:r w:rsidRPr="00192E82">
        <w:rPr>
          <w:i/>
          <w:iCs w:val="0"/>
          <w:lang w:eastAsia="ja-JP" w:bidi="en-US"/>
        </w:rPr>
        <w:t>a mixture of commercial, retail, residential and community uses that provide sustainable employment, that is complementary to and not in competition with, the commercial core</w:t>
      </w:r>
      <w:r w:rsidRPr="00D467C0">
        <w:rPr>
          <w:lang w:eastAsia="ja-JP" w:bidi="en-US"/>
        </w:rPr>
        <w:t xml:space="preserve">. </w:t>
      </w:r>
    </w:p>
    <w:p w14:paraId="5BB96810" w14:textId="77777777" w:rsidR="00D467C0" w:rsidRPr="00D467C0" w:rsidRDefault="00D467C0" w:rsidP="00D467C0">
      <w:pPr>
        <w:pStyle w:val="Body-Black"/>
        <w:rPr>
          <w:lang w:eastAsia="ja-JP" w:bidi="en-US"/>
        </w:rPr>
      </w:pPr>
      <w:r w:rsidRPr="00D467C0">
        <w:rPr>
          <w:lang w:eastAsia="ja-JP" w:bidi="en-US"/>
        </w:rPr>
        <w:t xml:space="preserve">The Planning Proposal is directly responding to the vision of the Georges River North Precinct by providing a mix of land uses, heights and floor space amendments that will facilitate a combination of uses across the area. </w:t>
      </w:r>
    </w:p>
    <w:p w14:paraId="72DA01F4" w14:textId="77777777" w:rsidR="00D467C0" w:rsidRPr="00D467C0" w:rsidRDefault="00D467C0" w:rsidP="00D467C0">
      <w:pPr>
        <w:pStyle w:val="Body-Black"/>
        <w:rPr>
          <w:u w:val="single"/>
          <w:lang w:eastAsia="ja-JP" w:bidi="en-US"/>
        </w:rPr>
      </w:pPr>
      <w:r w:rsidRPr="00D467C0">
        <w:rPr>
          <w:u w:val="single"/>
          <w:lang w:eastAsia="ja-JP" w:bidi="en-US"/>
        </w:rPr>
        <w:t>Liverpool Local Strategic Planning Statement</w:t>
      </w:r>
    </w:p>
    <w:p w14:paraId="3089ED2B" w14:textId="76156D43" w:rsidR="00D467C0" w:rsidRPr="00D467C0" w:rsidRDefault="00D467C0" w:rsidP="00D467C0">
      <w:pPr>
        <w:pStyle w:val="Body-Black"/>
        <w:rPr>
          <w:lang w:eastAsia="ja-JP" w:bidi="en-US"/>
        </w:rPr>
      </w:pPr>
      <w:r w:rsidRPr="00D467C0">
        <w:rPr>
          <w:lang w:eastAsia="ja-JP" w:bidi="en-US"/>
        </w:rPr>
        <w:t xml:space="preserve">The LSPS establishes a </w:t>
      </w:r>
      <w:r>
        <w:rPr>
          <w:lang w:eastAsia="ja-JP" w:bidi="en-US"/>
        </w:rPr>
        <w:t>20-</w:t>
      </w:r>
      <w:r w:rsidRPr="00D467C0">
        <w:rPr>
          <w:lang w:eastAsia="ja-JP" w:bidi="en-US"/>
        </w:rPr>
        <w:t xml:space="preserve">year strategic vision for land use planning in Liverpool and the necessary actions required to align with broader regional and district planning objectives. </w:t>
      </w:r>
    </w:p>
    <w:p w14:paraId="365C6A75" w14:textId="77777777" w:rsidR="00D467C0" w:rsidRPr="00D467C0" w:rsidRDefault="00D467C0" w:rsidP="00D467C0">
      <w:pPr>
        <w:pStyle w:val="Body-Black"/>
        <w:rPr>
          <w:lang w:eastAsia="ja-JP" w:bidi="en-US"/>
        </w:rPr>
      </w:pPr>
      <w:r w:rsidRPr="00D467C0">
        <w:rPr>
          <w:lang w:eastAsia="ja-JP" w:bidi="en-US"/>
        </w:rPr>
        <w:t>Key to the LSPS is the recognition of the Georges River North Precinct as future residential/mixed-use to support the CBD and Innovation Precinct as advanced through the Place Strategy.</w:t>
      </w:r>
    </w:p>
    <w:p w14:paraId="126CCA32" w14:textId="77777777" w:rsidR="00D467C0" w:rsidRPr="00D467C0" w:rsidRDefault="00D467C0" w:rsidP="00D467C0">
      <w:pPr>
        <w:pStyle w:val="Body-Black"/>
        <w:rPr>
          <w:lang w:eastAsia="ja-JP" w:bidi="en-US"/>
        </w:rPr>
      </w:pPr>
      <w:r w:rsidRPr="00D467C0">
        <w:rPr>
          <w:lang w:eastAsia="ja-JP" w:bidi="en-US"/>
        </w:rPr>
        <w:t>Key actions emerging from the LSPS that directly relate to the preparation of a Planning Proposal for the site include:</w:t>
      </w:r>
    </w:p>
    <w:p w14:paraId="7295A2C6" w14:textId="77777777" w:rsidR="00D467C0" w:rsidRPr="00D467C0" w:rsidRDefault="00D467C0" w:rsidP="00FC567E">
      <w:pPr>
        <w:pStyle w:val="Body-Black"/>
        <w:numPr>
          <w:ilvl w:val="0"/>
          <w:numId w:val="24"/>
        </w:numPr>
        <w:rPr>
          <w:lang w:eastAsia="ja-JP" w:bidi="en-US"/>
        </w:rPr>
      </w:pPr>
      <w:r w:rsidRPr="00D467C0">
        <w:rPr>
          <w:lang w:eastAsia="ja-JP" w:bidi="en-US"/>
        </w:rPr>
        <w:t>Investigate amendments to LEP to rezone River precinct north of Newbridge Road (Moore Point) as a mixed-use zone to support the Liverpool CBD and Innovation Precinct, with an extensive open space system and cross-river linkages. (short to medium term)</w:t>
      </w:r>
    </w:p>
    <w:p w14:paraId="71927220" w14:textId="5110DAA7" w:rsidR="00D467C0" w:rsidRPr="00D467C0" w:rsidRDefault="00D467C0" w:rsidP="00D467C0">
      <w:pPr>
        <w:pStyle w:val="Body-Black"/>
        <w:rPr>
          <w:lang w:eastAsia="ja-JP" w:bidi="en-US"/>
        </w:rPr>
      </w:pPr>
      <w:r>
        <w:rPr>
          <w:lang w:eastAsia="ja-JP" w:bidi="en-US"/>
        </w:rPr>
        <w:lastRenderedPageBreak/>
        <w:t>S</w:t>
      </w:r>
      <w:r w:rsidRPr="00D467C0">
        <w:rPr>
          <w:lang w:eastAsia="ja-JP" w:bidi="en-US"/>
        </w:rPr>
        <w:t>hort to medium term in the LSPS refers to the following periods:</w:t>
      </w:r>
    </w:p>
    <w:p w14:paraId="1A311A8E" w14:textId="77777777" w:rsidR="00D467C0" w:rsidRPr="00D467C0" w:rsidRDefault="00D467C0" w:rsidP="00D467C0">
      <w:pPr>
        <w:pStyle w:val="Body-Black"/>
        <w:rPr>
          <w:lang w:eastAsia="ja-JP" w:bidi="en-US"/>
        </w:rPr>
      </w:pPr>
      <w:r w:rsidRPr="00D467C0">
        <w:rPr>
          <w:lang w:eastAsia="ja-JP" w:bidi="en-US"/>
        </w:rPr>
        <w:t>•</w:t>
      </w:r>
      <w:r w:rsidRPr="00D467C0">
        <w:rPr>
          <w:lang w:eastAsia="ja-JP" w:bidi="en-US"/>
        </w:rPr>
        <w:tab/>
        <w:t>Short term – Now-2020/2021; and</w:t>
      </w:r>
    </w:p>
    <w:p w14:paraId="68D486D6" w14:textId="77777777" w:rsidR="00D467C0" w:rsidRPr="00D467C0" w:rsidRDefault="00D467C0" w:rsidP="00D467C0">
      <w:pPr>
        <w:pStyle w:val="Body-Black"/>
        <w:rPr>
          <w:lang w:eastAsia="ja-JP" w:bidi="en-US"/>
        </w:rPr>
      </w:pPr>
      <w:r w:rsidRPr="00D467C0">
        <w:rPr>
          <w:lang w:eastAsia="ja-JP" w:bidi="en-US"/>
        </w:rPr>
        <w:t>•</w:t>
      </w:r>
      <w:r w:rsidRPr="00D467C0">
        <w:rPr>
          <w:lang w:eastAsia="ja-JP" w:bidi="en-US"/>
        </w:rPr>
        <w:tab/>
        <w:t xml:space="preserve">Medium term – 2021/2022-2024/2025. </w:t>
      </w:r>
    </w:p>
    <w:p w14:paraId="3BEF380A" w14:textId="3C45A3FF" w:rsidR="004B7CAA" w:rsidRPr="00D467C0" w:rsidRDefault="00D467C0" w:rsidP="00D467C0">
      <w:pPr>
        <w:pStyle w:val="Body-Black"/>
        <w:rPr>
          <w:lang w:eastAsia="ja-JP" w:bidi="en-US"/>
        </w:rPr>
      </w:pPr>
      <w:r w:rsidRPr="00D467C0">
        <w:rPr>
          <w:lang w:eastAsia="ja-JP" w:bidi="en-US"/>
        </w:rPr>
        <w:t>Following the clear alignment between the Place Strategy and LSPS, the Planning Proposal has been prepared to realise the priorities for Liverpool.</w:t>
      </w:r>
    </w:p>
    <w:p w14:paraId="71194C65" w14:textId="2170E654" w:rsidR="005132B4" w:rsidRPr="00851E9E" w:rsidRDefault="005132B4" w:rsidP="00030179">
      <w:pPr>
        <w:pStyle w:val="Sub-Heading2-Purple"/>
        <w:numPr>
          <w:ilvl w:val="0"/>
          <w:numId w:val="1"/>
        </w:numPr>
        <w:spacing w:line="276" w:lineRule="auto"/>
        <w:rPr>
          <w:lang w:eastAsia="ja-JP"/>
        </w:rPr>
      </w:pPr>
      <w:r w:rsidRPr="00851E9E">
        <w:rPr>
          <w:lang w:eastAsia="ja-JP"/>
        </w:rPr>
        <w:t xml:space="preserve">Is the planning proposal the best means of achieving the </w:t>
      </w:r>
      <w:r w:rsidR="009C78F2" w:rsidRPr="00851E9E">
        <w:rPr>
          <w:lang w:eastAsia="ja-JP"/>
        </w:rPr>
        <w:t>objectives or intended outcomes, or is there a better way?</w:t>
      </w:r>
    </w:p>
    <w:p w14:paraId="2D0FD32D" w14:textId="77777777"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The planning proposal is the best means of achieving the objectives and outcomes mandated in the Place Strategy and LSPS. </w:t>
      </w:r>
    </w:p>
    <w:p w14:paraId="532536B8" w14:textId="77777777"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The site is zoned for IN2 Light Industrial purposes. Land uses within this zone are unable to achieve the mix of uses that are envisaged for the Georges River North Precinct. Therefore, a change of land use is required to facilitate a combination of residential and non-residential uses on the site.  </w:t>
      </w:r>
    </w:p>
    <w:p w14:paraId="0574DBEC" w14:textId="77777777"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The existing land use and development standards would not be able to deliver the public domain improvements envisaged for the Georges River North Precinct including embellishment of the foreshore, adaptive re-use of existing heritage and creation of integrated and connected pedestrian and cycle links.  </w:t>
      </w:r>
    </w:p>
    <w:p w14:paraId="6F25909F" w14:textId="77777777"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While it would be possible for a rezoning to be contemplated through a comprehensive LEP review, this is considered to be a less desirable method as it would not allow for detailed site master planning or consideration of public benefits and sequencing alongside the changes to planning controls including precinct specific provisions aligned to built form considerations. </w:t>
      </w:r>
    </w:p>
    <w:p w14:paraId="0F2A2431" w14:textId="3542463C"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A change of land use in conjunction with amendments to key development standards and the introduction of a new Division to the LEP is necessary to transform </w:t>
      </w:r>
      <w:r w:rsidR="005362D2">
        <w:rPr>
          <w:rFonts w:ascii="Arial" w:eastAsiaTheme="minorEastAsia" w:hAnsi="Arial" w:cs="Arial"/>
          <w:iCs/>
          <w:sz w:val="20"/>
          <w:lang w:val="en-AU" w:eastAsia="ja-JP"/>
        </w:rPr>
        <w:t xml:space="preserve">this site </w:t>
      </w:r>
      <w:r w:rsidRPr="003C2051">
        <w:rPr>
          <w:rFonts w:ascii="Arial" w:eastAsiaTheme="minorEastAsia" w:hAnsi="Arial" w:cs="Arial"/>
          <w:iCs/>
          <w:sz w:val="20"/>
          <w:lang w:val="en-AU" w:eastAsia="ja-JP"/>
        </w:rPr>
        <w:t xml:space="preserve">into the natural extension of Liverpool CBD. This will provide land uses conducive to satisfying the objectives of the Place Strategy and LSPS as well as ensuring public benefits associated with the proposal are safeguarded. </w:t>
      </w:r>
    </w:p>
    <w:p w14:paraId="5EBB2C2A" w14:textId="77777777" w:rsidR="003C2051" w:rsidRPr="003C2051" w:rsidRDefault="003C2051" w:rsidP="003C2051">
      <w:pPr>
        <w:rPr>
          <w:rFonts w:ascii="Arial" w:eastAsiaTheme="minorEastAsia" w:hAnsi="Arial" w:cs="Arial"/>
          <w:iCs/>
          <w:sz w:val="20"/>
          <w:lang w:val="en-AU" w:eastAsia="ja-JP"/>
        </w:rPr>
      </w:pPr>
      <w:r w:rsidRPr="003C2051">
        <w:rPr>
          <w:rFonts w:ascii="Arial" w:eastAsiaTheme="minorEastAsia" w:hAnsi="Arial" w:cs="Arial"/>
          <w:iCs/>
          <w:sz w:val="20"/>
          <w:lang w:val="en-AU" w:eastAsia="ja-JP"/>
        </w:rPr>
        <w:t>The Planning Proposal will facilitate the following public benefits that are entirely consistent with the objectives and outcomes of the LSPS. These include:</w:t>
      </w:r>
    </w:p>
    <w:p w14:paraId="4D9A2238"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Riverbank rehabilitation and revegetation, including associated flooding and foreshore water quality treatments;</w:t>
      </w:r>
    </w:p>
    <w:p w14:paraId="2D1FABD1"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Bridge connections to Liverpool CBD including 7km of shared cycle/pedestrian paths to foster healthy and socially connected communities across Liverpool;</w:t>
      </w:r>
    </w:p>
    <w:p w14:paraId="330F32DD" w14:textId="4D89F6BB" w:rsidR="003C2051" w:rsidRPr="003C2051" w:rsidRDefault="00B60C1A" w:rsidP="00FC567E">
      <w:pPr>
        <w:pStyle w:val="ListParagraph"/>
        <w:numPr>
          <w:ilvl w:val="0"/>
          <w:numId w:val="24"/>
        </w:numPr>
        <w:rPr>
          <w:rFonts w:ascii="Arial" w:eastAsiaTheme="minorEastAsia" w:hAnsi="Arial" w:cs="Arial"/>
          <w:iCs/>
          <w:sz w:val="20"/>
          <w:lang w:val="en-AU" w:eastAsia="ja-JP"/>
        </w:rPr>
      </w:pPr>
      <w:r>
        <w:rPr>
          <w:rFonts w:ascii="Arial" w:eastAsiaTheme="minorEastAsia" w:hAnsi="Arial" w:cs="Arial"/>
          <w:iCs/>
          <w:sz w:val="20"/>
          <w:lang w:val="en-AU" w:eastAsia="ja-JP"/>
        </w:rPr>
        <w:t>N</w:t>
      </w:r>
      <w:r w:rsidR="003C2051" w:rsidRPr="003C2051">
        <w:rPr>
          <w:rFonts w:ascii="Arial" w:eastAsiaTheme="minorEastAsia" w:hAnsi="Arial" w:cs="Arial"/>
          <w:iCs/>
          <w:sz w:val="20"/>
          <w:lang w:val="en-AU" w:eastAsia="ja-JP"/>
        </w:rPr>
        <w:t xml:space="preserve">ew public open space and upgraded parkland, enhancing the green grid and delivering bespoke and high quality open space; </w:t>
      </w:r>
    </w:p>
    <w:p w14:paraId="691F1C21"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Adaptive re-use of existing heritage building and retention of heritage grid adjacent to foreshore open space, creating a destination for the community; </w:t>
      </w:r>
    </w:p>
    <w:p w14:paraId="698701A4"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Upgrades to Newbridge Road and creation of new streets, improving infrastructure an enhancing connectivity prior to the future Metro Southwest;</w:t>
      </w:r>
    </w:p>
    <w:p w14:paraId="7B56E0BE"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Provision of cultural uses and opportunities, establishing new experiences for a diversifying Liverpool and contributing to local character; </w:t>
      </w:r>
    </w:p>
    <w:p w14:paraId="4EF8D601" w14:textId="77777777" w:rsidR="003C2051" w:rsidRPr="003C2051"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 xml:space="preserve">Contribution to the 8km ‘Georges River Walk’ from Chipping Norton to Casula Powerhouse to activate but also protect and improve the health and activation of the Georges River; and </w:t>
      </w:r>
    </w:p>
    <w:p w14:paraId="4E6E8762" w14:textId="3C72C6E1" w:rsidR="000314DE" w:rsidRPr="00520B06" w:rsidRDefault="003C2051" w:rsidP="00FC567E">
      <w:pPr>
        <w:pStyle w:val="ListParagraph"/>
        <w:numPr>
          <w:ilvl w:val="0"/>
          <w:numId w:val="24"/>
        </w:numPr>
        <w:rPr>
          <w:rFonts w:ascii="Arial" w:eastAsiaTheme="minorEastAsia" w:hAnsi="Arial" w:cs="Arial"/>
          <w:iCs/>
          <w:sz w:val="20"/>
          <w:lang w:val="en-AU" w:eastAsia="ja-JP"/>
        </w:rPr>
      </w:pPr>
      <w:r w:rsidRPr="003C2051">
        <w:rPr>
          <w:rFonts w:ascii="Arial" w:eastAsiaTheme="minorEastAsia" w:hAnsi="Arial" w:cs="Arial"/>
          <w:iCs/>
          <w:sz w:val="20"/>
          <w:lang w:val="en-AU" w:eastAsia="ja-JP"/>
        </w:rPr>
        <w:t>Capacity to provide over 23,000 jobs in excellent proximity to Liverpool CBD and the associated Health and Education Precinct, strengthening the areas productivity</w:t>
      </w:r>
      <w:r w:rsidR="000314DE">
        <w:rPr>
          <w:lang w:eastAsia="ja-JP"/>
        </w:rPr>
        <w:br w:type="page"/>
      </w:r>
    </w:p>
    <w:p w14:paraId="4C304E2F" w14:textId="475086E4" w:rsidR="00A722E2" w:rsidRDefault="00A722E2" w:rsidP="00BE5CD0">
      <w:pPr>
        <w:pStyle w:val="Sub-Heading1-Purple"/>
        <w:spacing w:line="276" w:lineRule="auto"/>
        <w:rPr>
          <w:lang w:eastAsia="ja-JP"/>
        </w:rPr>
      </w:pPr>
      <w:bookmarkStart w:id="22" w:name="_Toc59014422"/>
      <w:r w:rsidRPr="00851E9E">
        <w:rPr>
          <w:lang w:eastAsia="ja-JP"/>
        </w:rPr>
        <w:lastRenderedPageBreak/>
        <w:t>Section B – Relationship to strategic planning framewor</w:t>
      </w:r>
      <w:r w:rsidR="009C78F2" w:rsidRPr="00851E9E">
        <w:rPr>
          <w:lang w:eastAsia="ja-JP"/>
        </w:rPr>
        <w:t>k.</w:t>
      </w:r>
      <w:bookmarkEnd w:id="22"/>
      <w:r w:rsidR="009C78F2" w:rsidRPr="00851E9E">
        <w:rPr>
          <w:lang w:eastAsia="ja-JP"/>
        </w:rPr>
        <w:t xml:space="preserve"> </w:t>
      </w:r>
    </w:p>
    <w:p w14:paraId="7753A21B" w14:textId="77777777" w:rsidR="00E64BE0" w:rsidRDefault="00E64BE0" w:rsidP="00BE5CD0">
      <w:pPr>
        <w:pStyle w:val="Sub-Heading1-Purple"/>
        <w:spacing w:line="276" w:lineRule="auto"/>
        <w:rPr>
          <w:lang w:eastAsia="ja-JP"/>
        </w:rPr>
      </w:pPr>
    </w:p>
    <w:p w14:paraId="74343F1B" w14:textId="140C70F8" w:rsidR="00183B6C" w:rsidRPr="00851E9E" w:rsidRDefault="004A0615" w:rsidP="004F5AA0">
      <w:pPr>
        <w:pStyle w:val="Sub-Heading2-Purple"/>
        <w:numPr>
          <w:ilvl w:val="0"/>
          <w:numId w:val="1"/>
        </w:numPr>
        <w:spacing w:line="276" w:lineRule="auto"/>
        <w:rPr>
          <w:lang w:eastAsia="ja-JP"/>
        </w:rPr>
      </w:pPr>
      <w:r w:rsidRPr="004A0615">
        <w:rPr>
          <w:iCs/>
          <w:lang w:val="en-US" w:eastAsia="ja-JP"/>
        </w:rPr>
        <w:t>Will the planning proposal give effect to the objectives and actions of the applicable regional, or district plan or strategy (including any exhibited draft plans or strategies)?</w:t>
      </w:r>
    </w:p>
    <w:p w14:paraId="775D2E3B" w14:textId="792D15D8" w:rsidR="00001F73" w:rsidRPr="00001F73" w:rsidRDefault="00001F73" w:rsidP="00E315E9">
      <w:pPr>
        <w:pStyle w:val="Body-Black"/>
        <w:rPr>
          <w:iCs w:val="0"/>
          <w:szCs w:val="20"/>
          <w:u w:val="single"/>
          <w:lang w:eastAsia="ja-JP"/>
        </w:rPr>
      </w:pPr>
      <w:bookmarkStart w:id="23" w:name="_Ref19875512"/>
      <w:r w:rsidRPr="00001F73">
        <w:rPr>
          <w:iCs w:val="0"/>
          <w:szCs w:val="20"/>
          <w:u w:val="single"/>
          <w:lang w:eastAsia="ja-JP"/>
        </w:rPr>
        <w:t>Greater Sydney Region Plan</w:t>
      </w:r>
    </w:p>
    <w:p w14:paraId="16295CC9" w14:textId="77777777" w:rsidR="00E0748B" w:rsidRPr="00E0748B" w:rsidRDefault="00E0748B" w:rsidP="00E0748B">
      <w:pPr>
        <w:pStyle w:val="Body-Black"/>
        <w:rPr>
          <w:iCs w:val="0"/>
          <w:szCs w:val="20"/>
          <w:lang w:eastAsia="ja-JP"/>
        </w:rPr>
      </w:pPr>
      <w:r w:rsidRPr="00E0748B">
        <w:rPr>
          <w:iCs w:val="0"/>
          <w:szCs w:val="20"/>
          <w:lang w:eastAsia="ja-JP"/>
        </w:rPr>
        <w:t xml:space="preserve">The Region Plan was published in March 2018 and sets out the vision, objectives, strategies and actions for a metropolis of three cities across Greater Sydney. </w:t>
      </w:r>
    </w:p>
    <w:p w14:paraId="4BD93E0C" w14:textId="77777777" w:rsidR="00E0748B" w:rsidRPr="00E0748B" w:rsidRDefault="00E0748B" w:rsidP="00E0748B">
      <w:pPr>
        <w:pStyle w:val="Body-Black"/>
        <w:rPr>
          <w:iCs w:val="0"/>
          <w:szCs w:val="20"/>
          <w:lang w:eastAsia="ja-JP"/>
        </w:rPr>
      </w:pPr>
      <w:r w:rsidRPr="00E0748B">
        <w:rPr>
          <w:iCs w:val="0"/>
          <w:szCs w:val="20"/>
          <w:lang w:eastAsia="ja-JP"/>
        </w:rPr>
        <w:t>The Plan replaced the previous A Plan for Growing Sydney and outlines 10 overarching directions supported by 40 objectives, which aim to provide interconnected infrastructure, productivity, liveability and sustainability benefits to all residents.</w:t>
      </w:r>
    </w:p>
    <w:p w14:paraId="2550EA5C" w14:textId="507487D4" w:rsidR="00E0748B" w:rsidRPr="00001F73" w:rsidRDefault="00E0748B" w:rsidP="00E0748B">
      <w:pPr>
        <w:pStyle w:val="Body-Black"/>
        <w:rPr>
          <w:iCs w:val="0"/>
          <w:szCs w:val="20"/>
          <w:lang w:eastAsia="ja-JP"/>
        </w:rPr>
      </w:pPr>
      <w:r w:rsidRPr="00E0748B">
        <w:rPr>
          <w:iCs w:val="0"/>
          <w:szCs w:val="20"/>
          <w:lang w:eastAsia="ja-JP"/>
        </w:rPr>
        <w:t xml:space="preserve">Table </w:t>
      </w:r>
      <w:r w:rsidR="00E972AF">
        <w:rPr>
          <w:iCs w:val="0"/>
          <w:szCs w:val="20"/>
          <w:lang w:eastAsia="ja-JP"/>
        </w:rPr>
        <w:t>2</w:t>
      </w:r>
      <w:r w:rsidRPr="00E0748B">
        <w:rPr>
          <w:iCs w:val="0"/>
          <w:szCs w:val="20"/>
          <w:lang w:eastAsia="ja-JP"/>
        </w:rPr>
        <w:t xml:space="preserve"> demonstrates the consistency of the Planning Proposal in relation to the Region Plan objectives.</w:t>
      </w:r>
    </w:p>
    <w:p w14:paraId="312DCDA5" w14:textId="07647833" w:rsidR="00F9781D" w:rsidRDefault="00F9781D" w:rsidP="00F9781D">
      <w:pPr>
        <w:pStyle w:val="Caption"/>
        <w:keepNext/>
      </w:pPr>
      <w:bookmarkStart w:id="24" w:name="_Toc46145525"/>
      <w:r>
        <w:t xml:space="preserve">Table </w:t>
      </w:r>
      <w:bookmarkEnd w:id="23"/>
      <w:r w:rsidR="00E972AF">
        <w:t>2</w:t>
      </w:r>
      <w:r w:rsidR="007D7B38">
        <w:t>:</w:t>
      </w:r>
      <w:r>
        <w:t xml:space="preserve"> </w:t>
      </w:r>
      <w:r w:rsidR="00495FEE">
        <w:t>Strategic Plan Merit Test</w:t>
      </w:r>
      <w:r w:rsidR="000933CA">
        <w:t xml:space="preserve"> – Greater Sydney Region Plan</w:t>
      </w:r>
      <w:bookmarkEnd w:id="24"/>
    </w:p>
    <w:p w14:paraId="7A0B1BED" w14:textId="6EFCB6D4" w:rsidR="00AF7AEB" w:rsidRDefault="00AF7AEB" w:rsidP="00AF7AEB"/>
    <w:tbl>
      <w:tblPr>
        <w:tblStyle w:val="GridTable4-Accent1"/>
        <w:tblpPr w:leftFromText="180" w:rightFromText="180" w:horzAnchor="margin" w:tblpXSpec="center" w:tblpY="-330"/>
        <w:tblW w:w="9209" w:type="dxa"/>
        <w:tblLayout w:type="fixed"/>
        <w:tblLook w:val="0000" w:firstRow="0" w:lastRow="0" w:firstColumn="0" w:lastColumn="0" w:noHBand="0" w:noVBand="0"/>
      </w:tblPr>
      <w:tblGrid>
        <w:gridCol w:w="1696"/>
        <w:gridCol w:w="2835"/>
        <w:gridCol w:w="4678"/>
      </w:tblGrid>
      <w:tr w:rsidR="00AF7AEB" w:rsidRPr="00AF7AEB" w14:paraId="25DFB2BB" w14:textId="77777777" w:rsidTr="00310535">
        <w:trPr>
          <w:trHeight w:val="103"/>
          <w:tblHeader/>
        </w:trPr>
        <w:tc>
          <w:tcPr>
            <w:cnfStyle w:val="000010000000" w:firstRow="0" w:lastRow="0" w:firstColumn="0" w:lastColumn="0" w:oddVBand="1" w:evenVBand="0" w:oddHBand="0" w:evenHBand="0" w:firstRowFirstColumn="0" w:firstRowLastColumn="0" w:lastRowFirstColumn="0" w:lastRowLastColumn="0"/>
            <w:tcW w:w="1696" w:type="dxa"/>
            <w:shd w:val="clear" w:color="auto" w:fill="7030A0"/>
          </w:tcPr>
          <w:p w14:paraId="1FA4D593" w14:textId="3FB4A470" w:rsidR="00AF7AEB" w:rsidRPr="00AF7AEB" w:rsidRDefault="00AF7AEB" w:rsidP="00310535">
            <w:pPr>
              <w:pStyle w:val="Default"/>
              <w:rPr>
                <w:rFonts w:ascii="Arial" w:hAnsi="Arial" w:cs="Arial"/>
                <w:color w:val="D8D2C4" w:themeColor="background1"/>
                <w:sz w:val="20"/>
                <w:szCs w:val="20"/>
              </w:rPr>
            </w:pPr>
            <w:r w:rsidRPr="00AF7AEB">
              <w:rPr>
                <w:rFonts w:ascii="Arial" w:hAnsi="Arial" w:cs="Arial"/>
                <w:color w:val="D8D2C4" w:themeColor="background1"/>
                <w:sz w:val="20"/>
                <w:szCs w:val="20"/>
              </w:rPr>
              <w:lastRenderedPageBreak/>
              <w:t xml:space="preserve">OBJECTIVE </w:t>
            </w:r>
          </w:p>
        </w:tc>
        <w:tc>
          <w:tcPr>
            <w:tcW w:w="2835" w:type="dxa"/>
            <w:shd w:val="clear" w:color="auto" w:fill="7030A0"/>
          </w:tcPr>
          <w:p w14:paraId="11A228C5" w14:textId="77777777" w:rsidR="00AF7AEB" w:rsidRPr="00AF7AEB" w:rsidRDefault="00AF7AEB" w:rsidP="00310535">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D8D2C4" w:themeColor="background1"/>
                <w:sz w:val="20"/>
                <w:szCs w:val="20"/>
              </w:rPr>
            </w:pPr>
            <w:r w:rsidRPr="00AF7AEB">
              <w:rPr>
                <w:rFonts w:ascii="Arial" w:hAnsi="Arial" w:cs="Arial"/>
                <w:color w:val="D8D2C4" w:themeColor="background1"/>
                <w:sz w:val="20"/>
                <w:szCs w:val="20"/>
              </w:rPr>
              <w:t xml:space="preserve">REQUIREMENT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7030A0"/>
          </w:tcPr>
          <w:p w14:paraId="1502C22B" w14:textId="77777777" w:rsidR="00AF7AEB" w:rsidRPr="00AF7AEB" w:rsidRDefault="00AF7AEB" w:rsidP="00310535">
            <w:pPr>
              <w:pStyle w:val="Default"/>
              <w:rPr>
                <w:rFonts w:ascii="Arial" w:hAnsi="Arial" w:cs="Arial"/>
                <w:color w:val="D8D2C4" w:themeColor="background1"/>
                <w:sz w:val="20"/>
                <w:szCs w:val="20"/>
              </w:rPr>
            </w:pPr>
            <w:r w:rsidRPr="00AF7AEB">
              <w:rPr>
                <w:rFonts w:ascii="Arial" w:hAnsi="Arial" w:cs="Arial"/>
                <w:color w:val="D8D2C4" w:themeColor="background1"/>
                <w:sz w:val="20"/>
                <w:szCs w:val="20"/>
              </w:rPr>
              <w:t xml:space="preserve">COMMENT </w:t>
            </w:r>
          </w:p>
        </w:tc>
      </w:tr>
      <w:tr w:rsidR="00AF7AEB" w:rsidRPr="00AF7AEB" w14:paraId="37954BDB" w14:textId="77777777" w:rsidTr="00D72C67">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11D871E0" w14:textId="77777777" w:rsidR="00AF7AEB" w:rsidRPr="00AF7AEB" w:rsidRDefault="00AF7AEB" w:rsidP="00310535">
            <w:pPr>
              <w:pStyle w:val="Default"/>
              <w:rPr>
                <w:rFonts w:ascii="Arial" w:hAnsi="Arial" w:cs="Arial"/>
                <w:sz w:val="20"/>
                <w:szCs w:val="20"/>
              </w:rPr>
            </w:pPr>
            <w:r w:rsidRPr="00AF7AEB">
              <w:rPr>
                <w:rFonts w:ascii="Arial" w:hAnsi="Arial" w:cs="Arial"/>
                <w:sz w:val="20"/>
                <w:szCs w:val="20"/>
              </w:rPr>
              <w:t xml:space="preserve">A CITY SUPPORTED BY INFRASTRUCTURE </w:t>
            </w:r>
          </w:p>
        </w:tc>
      </w:tr>
      <w:tr w:rsidR="00037AA1" w:rsidRPr="00AF7AEB" w14:paraId="1B2A6A07" w14:textId="77777777" w:rsidTr="00D72C67">
        <w:trPr>
          <w:trHeight w:val="491"/>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758BF436" w14:textId="77777777" w:rsidR="00037AA1" w:rsidRPr="00AF7AEB" w:rsidRDefault="00037AA1" w:rsidP="00037AA1">
            <w:pPr>
              <w:pStyle w:val="Default"/>
              <w:rPr>
                <w:rFonts w:ascii="Arial" w:hAnsi="Arial" w:cs="Arial"/>
                <w:sz w:val="20"/>
                <w:szCs w:val="20"/>
              </w:rPr>
            </w:pPr>
            <w:r w:rsidRPr="00AF7AEB">
              <w:rPr>
                <w:rFonts w:ascii="Arial" w:hAnsi="Arial" w:cs="Arial"/>
                <w:sz w:val="20"/>
                <w:szCs w:val="20"/>
              </w:rPr>
              <w:t xml:space="preserve">Objective 1 </w:t>
            </w:r>
          </w:p>
        </w:tc>
        <w:tc>
          <w:tcPr>
            <w:tcW w:w="2835" w:type="dxa"/>
            <w:shd w:val="clear" w:color="auto" w:fill="DDD0ED" w:themeFill="text1" w:themeFillTint="33"/>
          </w:tcPr>
          <w:p w14:paraId="1524ABCA" w14:textId="77777777" w:rsidR="00037AA1" w:rsidRPr="00AF7AEB" w:rsidRDefault="00037AA1" w:rsidP="00037AA1">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Infrastructure supports the three cities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3ADF14B6" w14:textId="5BFD4285" w:rsidR="00037AA1" w:rsidRPr="00AF7AEB" w:rsidRDefault="00037AA1" w:rsidP="00037AA1">
            <w:pPr>
              <w:pStyle w:val="Default"/>
              <w:rPr>
                <w:rFonts w:ascii="Arial" w:hAnsi="Arial" w:cs="Arial"/>
                <w:sz w:val="20"/>
                <w:szCs w:val="20"/>
              </w:rPr>
            </w:pPr>
            <w:r w:rsidRPr="009926AE">
              <w:rPr>
                <w:rFonts w:ascii="Arial" w:hAnsi="Arial" w:cs="Arial"/>
                <w:sz w:val="20"/>
                <w:szCs w:val="20"/>
              </w:rPr>
              <w:t xml:space="preserve">The proposal seeks to align new infrastructure to support the growth of Liverpool as Sydney’s third CBD including extensive foreshore open space embellishments, creation of new roads and upgrades of existing intersections.  </w:t>
            </w:r>
          </w:p>
        </w:tc>
      </w:tr>
      <w:tr w:rsidR="00037AA1" w:rsidRPr="00AF7AEB" w14:paraId="662BA19B"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45325533" w14:textId="77777777" w:rsidR="00037AA1" w:rsidRPr="00AF7AEB" w:rsidRDefault="00037AA1" w:rsidP="00037AA1">
            <w:pPr>
              <w:pStyle w:val="Default"/>
              <w:rPr>
                <w:rFonts w:ascii="Arial" w:hAnsi="Arial" w:cs="Arial"/>
                <w:sz w:val="20"/>
                <w:szCs w:val="20"/>
              </w:rPr>
            </w:pPr>
            <w:r w:rsidRPr="00AF7AEB">
              <w:rPr>
                <w:rFonts w:ascii="Arial" w:hAnsi="Arial" w:cs="Arial"/>
                <w:sz w:val="20"/>
                <w:szCs w:val="20"/>
              </w:rPr>
              <w:t xml:space="preserve">Objective 2 </w:t>
            </w:r>
          </w:p>
        </w:tc>
        <w:tc>
          <w:tcPr>
            <w:tcW w:w="2835" w:type="dxa"/>
            <w:shd w:val="clear" w:color="auto" w:fill="DDD0ED" w:themeFill="text1" w:themeFillTint="33"/>
          </w:tcPr>
          <w:p w14:paraId="36FB6A62" w14:textId="77777777" w:rsidR="00037AA1" w:rsidRPr="00AF7AEB" w:rsidRDefault="00037AA1" w:rsidP="00037AA1">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Infrastructure aligns with forecast growth – growth infrastructure compact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662CF7CF" w14:textId="291A590D" w:rsidR="00037AA1" w:rsidRPr="00AF7AEB" w:rsidRDefault="00F735EF" w:rsidP="00037AA1">
            <w:pPr>
              <w:pStyle w:val="Default"/>
              <w:rPr>
                <w:rFonts w:ascii="Arial" w:hAnsi="Arial" w:cs="Arial"/>
                <w:sz w:val="20"/>
                <w:szCs w:val="20"/>
              </w:rPr>
            </w:pPr>
            <w:r w:rsidRPr="00F735EF">
              <w:rPr>
                <w:rFonts w:ascii="Arial" w:hAnsi="Arial" w:cs="Arial"/>
                <w:sz w:val="20"/>
                <w:szCs w:val="20"/>
              </w:rPr>
              <w:t>The proposal aligns with population, employment and housing demand for Liverpool LGA and will be addressed through commercial and residential floor space.</w:t>
            </w:r>
          </w:p>
        </w:tc>
      </w:tr>
      <w:tr w:rsidR="00372837" w:rsidRPr="00AF7AEB" w14:paraId="5C4D6671" w14:textId="77777777" w:rsidTr="00D72C67">
        <w:trPr>
          <w:trHeight w:val="360"/>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7CE8AC33" w14:textId="4EAAAFFF" w:rsidR="00372837" w:rsidRPr="00AF7AEB" w:rsidRDefault="00372837" w:rsidP="00037AA1">
            <w:pPr>
              <w:pStyle w:val="Default"/>
              <w:rPr>
                <w:rFonts w:ascii="Arial" w:hAnsi="Arial" w:cs="Arial"/>
                <w:sz w:val="20"/>
                <w:szCs w:val="20"/>
              </w:rPr>
            </w:pPr>
            <w:r>
              <w:rPr>
                <w:rFonts w:ascii="Arial" w:hAnsi="Arial" w:cs="Arial"/>
                <w:sz w:val="20"/>
                <w:szCs w:val="20"/>
              </w:rPr>
              <w:t>Objective 3</w:t>
            </w:r>
          </w:p>
        </w:tc>
        <w:tc>
          <w:tcPr>
            <w:tcW w:w="2835" w:type="dxa"/>
            <w:shd w:val="clear" w:color="auto" w:fill="DDD0ED" w:themeFill="text1" w:themeFillTint="33"/>
          </w:tcPr>
          <w:p w14:paraId="05231B57" w14:textId="6DF934B2" w:rsidR="00372837" w:rsidRPr="00AF7AEB" w:rsidRDefault="00372837" w:rsidP="00037AA1">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Infrastructure adapts to meet future needs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2EDC80FE" w14:textId="679AE783" w:rsidR="00372837" w:rsidRPr="00AF7AEB" w:rsidRDefault="009E1D7D" w:rsidP="00037AA1">
            <w:pPr>
              <w:pStyle w:val="Default"/>
              <w:rPr>
                <w:rFonts w:ascii="Arial" w:hAnsi="Arial" w:cs="Arial"/>
                <w:sz w:val="20"/>
                <w:szCs w:val="20"/>
              </w:rPr>
            </w:pPr>
            <w:r w:rsidRPr="009E1D7D">
              <w:rPr>
                <w:rFonts w:ascii="Arial" w:hAnsi="Arial" w:cs="Arial"/>
                <w:sz w:val="20"/>
                <w:szCs w:val="20"/>
              </w:rPr>
              <w:t xml:space="preserve">The proposal will provide new infrastructure along the Georges River foreshore and responds to the vision of the area articulated in the LSPS and Place Strategy. This will be achieved through further consideration of planned and future transport required to support Moore Point through the </w:t>
            </w:r>
            <w:r>
              <w:rPr>
                <w:rFonts w:ascii="Arial" w:hAnsi="Arial" w:cs="Arial"/>
                <w:sz w:val="20"/>
                <w:szCs w:val="20"/>
              </w:rPr>
              <w:t>transport infrastructure working group</w:t>
            </w:r>
            <w:r w:rsidRPr="009E1D7D">
              <w:rPr>
                <w:rFonts w:ascii="Arial" w:hAnsi="Arial" w:cs="Arial"/>
                <w:sz w:val="20"/>
                <w:szCs w:val="20"/>
              </w:rPr>
              <w:t>.</w:t>
            </w:r>
          </w:p>
        </w:tc>
      </w:tr>
      <w:tr w:rsidR="00037AA1" w:rsidRPr="00AF7AEB" w14:paraId="689C0F21" w14:textId="77777777" w:rsidTr="00D72C67">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32E3963E" w14:textId="77777777" w:rsidR="00037AA1" w:rsidRPr="00AF7AEB" w:rsidRDefault="00037AA1" w:rsidP="00037AA1">
            <w:pPr>
              <w:pStyle w:val="Default"/>
              <w:rPr>
                <w:rFonts w:ascii="Arial" w:hAnsi="Arial" w:cs="Arial"/>
                <w:sz w:val="20"/>
                <w:szCs w:val="20"/>
              </w:rPr>
            </w:pPr>
            <w:r w:rsidRPr="00AF7AEB">
              <w:rPr>
                <w:rFonts w:ascii="Arial" w:hAnsi="Arial" w:cs="Arial"/>
                <w:sz w:val="20"/>
                <w:szCs w:val="20"/>
              </w:rPr>
              <w:t xml:space="preserve">Objective 4 </w:t>
            </w:r>
          </w:p>
        </w:tc>
        <w:tc>
          <w:tcPr>
            <w:tcW w:w="2835" w:type="dxa"/>
            <w:shd w:val="clear" w:color="auto" w:fill="DDD0ED" w:themeFill="text1" w:themeFillTint="33"/>
          </w:tcPr>
          <w:p w14:paraId="6007A7AE" w14:textId="77777777" w:rsidR="00037AA1" w:rsidRPr="00AF7AEB" w:rsidRDefault="00037AA1" w:rsidP="00037AA1">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Infrastructure use is optimised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20B8B247" w14:textId="4AAA6C09" w:rsidR="00037AA1" w:rsidRPr="00AF7AEB" w:rsidRDefault="00A90B5D" w:rsidP="00037AA1">
            <w:pPr>
              <w:pStyle w:val="Default"/>
              <w:rPr>
                <w:rFonts w:ascii="Arial" w:hAnsi="Arial" w:cs="Arial"/>
                <w:sz w:val="20"/>
                <w:szCs w:val="20"/>
              </w:rPr>
            </w:pPr>
            <w:r w:rsidRPr="00A90B5D">
              <w:rPr>
                <w:rFonts w:ascii="Arial" w:hAnsi="Arial" w:cs="Arial"/>
                <w:sz w:val="20"/>
                <w:szCs w:val="20"/>
              </w:rPr>
              <w:t>The proposal will locate future residents within immediate proximity to Liverpool CBD, Innovation Precinct and Liverpool Train Station.</w:t>
            </w:r>
          </w:p>
        </w:tc>
      </w:tr>
      <w:tr w:rsidR="00037AA1" w:rsidRPr="00AF7AEB" w14:paraId="219F02D3" w14:textId="77777777" w:rsidTr="00D72C67">
        <w:trPr>
          <w:trHeight w:val="93"/>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45FD4DD0" w14:textId="77777777" w:rsidR="00037AA1" w:rsidRPr="00AF7AEB" w:rsidRDefault="00037AA1" w:rsidP="00037AA1">
            <w:pPr>
              <w:pStyle w:val="Default"/>
              <w:rPr>
                <w:rFonts w:ascii="Arial" w:hAnsi="Arial" w:cs="Arial"/>
                <w:sz w:val="20"/>
                <w:szCs w:val="20"/>
              </w:rPr>
            </w:pPr>
            <w:r w:rsidRPr="00AF7AEB">
              <w:rPr>
                <w:rFonts w:ascii="Arial" w:hAnsi="Arial" w:cs="Arial"/>
                <w:sz w:val="20"/>
                <w:szCs w:val="20"/>
              </w:rPr>
              <w:t xml:space="preserve">A CITY FOR PEOPLE </w:t>
            </w:r>
          </w:p>
        </w:tc>
      </w:tr>
      <w:tr w:rsidR="00A90B5D" w:rsidRPr="00AF7AEB" w14:paraId="132B42B7" w14:textId="77777777" w:rsidTr="00D72C67">
        <w:trPr>
          <w:cnfStyle w:val="000000100000" w:firstRow="0" w:lastRow="0" w:firstColumn="0" w:lastColumn="0" w:oddVBand="0" w:evenVBand="0" w:oddHBand="1" w:evenHBand="0" w:firstRowFirstColumn="0" w:firstRowLastColumn="0" w:lastRowFirstColumn="0" w:lastRowLastColumn="0"/>
          <w:trHeight w:val="626"/>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79784B7C" w14:textId="26977C21"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w:t>
            </w:r>
            <w:r>
              <w:rPr>
                <w:rFonts w:ascii="Arial" w:hAnsi="Arial" w:cs="Arial"/>
                <w:sz w:val="20"/>
                <w:szCs w:val="20"/>
              </w:rPr>
              <w:t>5</w:t>
            </w:r>
          </w:p>
        </w:tc>
        <w:tc>
          <w:tcPr>
            <w:tcW w:w="2835" w:type="dxa"/>
            <w:shd w:val="clear" w:color="auto" w:fill="DDD0ED" w:themeFill="text1" w:themeFillTint="33"/>
          </w:tcPr>
          <w:p w14:paraId="16F4D1B4" w14:textId="47718955" w:rsidR="00A90B5D" w:rsidRPr="00AF7AEB" w:rsidRDefault="00186F4E"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86F4E">
              <w:rPr>
                <w:rFonts w:ascii="Arial" w:hAnsi="Arial" w:cs="Arial"/>
                <w:sz w:val="20"/>
                <w:szCs w:val="20"/>
              </w:rPr>
              <w:t>Benefits of growth realised by collaboration of governments, community and business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218A3BD3" w14:textId="433D8A56" w:rsidR="00A90B5D" w:rsidRDefault="007B35BB" w:rsidP="00A90B5D">
            <w:pPr>
              <w:pStyle w:val="Default"/>
              <w:rPr>
                <w:rFonts w:ascii="Arial" w:hAnsi="Arial" w:cs="Arial"/>
                <w:sz w:val="20"/>
                <w:szCs w:val="20"/>
              </w:rPr>
            </w:pPr>
            <w:r w:rsidRPr="007B35BB">
              <w:rPr>
                <w:rFonts w:ascii="Arial" w:hAnsi="Arial" w:cs="Arial"/>
                <w:sz w:val="20"/>
                <w:szCs w:val="20"/>
              </w:rPr>
              <w:t>The proposal provides a complete alignment with the land uses articulated in the Place Strategy and Liverpool Collaboration Area including residential, recreational, retail and commercial uses. The proposal has established a series of working groups to drive a number of strategic objectives and principles for Moore Point.</w:t>
            </w:r>
          </w:p>
          <w:p w14:paraId="491DB165" w14:textId="31017FA2" w:rsidR="007B35BB" w:rsidRPr="007B35BB" w:rsidRDefault="007B35BB" w:rsidP="007B35BB">
            <w:pPr>
              <w:ind w:firstLine="720"/>
              <w:rPr>
                <w:lang w:val="en-AU" w:eastAsia="en-AU"/>
              </w:rPr>
            </w:pPr>
          </w:p>
        </w:tc>
      </w:tr>
      <w:tr w:rsidR="00A90B5D" w:rsidRPr="00AF7AEB" w14:paraId="46894573" w14:textId="77777777" w:rsidTr="00D72C67">
        <w:trPr>
          <w:trHeight w:val="626"/>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511E8D97" w14:textId="37F1E359"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w:t>
            </w:r>
            <w:r>
              <w:rPr>
                <w:rFonts w:ascii="Arial" w:hAnsi="Arial" w:cs="Arial"/>
                <w:sz w:val="20"/>
                <w:szCs w:val="20"/>
              </w:rPr>
              <w:t>6</w:t>
            </w:r>
            <w:r w:rsidRPr="00AF7AEB">
              <w:rPr>
                <w:rFonts w:ascii="Arial" w:hAnsi="Arial" w:cs="Arial"/>
                <w:sz w:val="20"/>
                <w:szCs w:val="20"/>
              </w:rPr>
              <w:t xml:space="preserve"> </w:t>
            </w:r>
          </w:p>
        </w:tc>
        <w:tc>
          <w:tcPr>
            <w:tcW w:w="2835" w:type="dxa"/>
            <w:shd w:val="clear" w:color="auto" w:fill="DDD0ED" w:themeFill="text1" w:themeFillTint="33"/>
          </w:tcPr>
          <w:p w14:paraId="1C2ABEC9" w14:textId="2AFAA6F6" w:rsidR="00A90B5D" w:rsidRPr="00AF7AEB" w:rsidRDefault="00117628"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17628">
              <w:rPr>
                <w:rFonts w:ascii="Arial" w:hAnsi="Arial" w:cs="Arial"/>
                <w:sz w:val="20"/>
                <w:szCs w:val="20"/>
              </w:rPr>
              <w:t>Services and infrastructure meet communities’ changing needs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3A6B8201" w14:textId="77777777" w:rsidR="00A90B5D" w:rsidRDefault="00CC69D1" w:rsidP="00A90B5D">
            <w:pPr>
              <w:pStyle w:val="Default"/>
              <w:rPr>
                <w:rFonts w:ascii="Arial" w:hAnsi="Arial" w:cs="Arial"/>
                <w:sz w:val="20"/>
                <w:szCs w:val="20"/>
              </w:rPr>
            </w:pPr>
            <w:r w:rsidRPr="00CC69D1">
              <w:rPr>
                <w:rFonts w:ascii="Arial" w:hAnsi="Arial" w:cs="Arial"/>
                <w:sz w:val="20"/>
                <w:szCs w:val="20"/>
              </w:rPr>
              <w:t>The proposal will provide new open spaces, soft infrastructure such as cycle links, civic spaces, educational facilities and service that will cater for the future population growth of Liverpool.</w:t>
            </w:r>
          </w:p>
          <w:p w14:paraId="17E5F1ED" w14:textId="77777777" w:rsidR="0066089C" w:rsidRDefault="0066089C" w:rsidP="00A90B5D">
            <w:pPr>
              <w:pStyle w:val="Default"/>
              <w:rPr>
                <w:rFonts w:ascii="Arial" w:hAnsi="Arial" w:cs="Arial"/>
                <w:sz w:val="20"/>
                <w:szCs w:val="20"/>
              </w:rPr>
            </w:pPr>
          </w:p>
          <w:p w14:paraId="2EE5F232" w14:textId="601EFEEC" w:rsidR="0066089C" w:rsidRPr="00AF7AEB" w:rsidRDefault="0066089C" w:rsidP="00A90B5D">
            <w:pPr>
              <w:pStyle w:val="Default"/>
              <w:rPr>
                <w:rFonts w:ascii="Arial" w:hAnsi="Arial" w:cs="Arial"/>
                <w:sz w:val="20"/>
                <w:szCs w:val="20"/>
              </w:rPr>
            </w:pPr>
            <w:r w:rsidRPr="0066089C">
              <w:rPr>
                <w:rFonts w:ascii="Arial" w:hAnsi="Arial" w:cs="Arial"/>
                <w:sz w:val="20"/>
                <w:szCs w:val="20"/>
              </w:rPr>
              <w:t>The proposal sets aside land for a primary school and a community centre, as indicated as necessary in a Community Benefits Analysis. Further consultation will need to be held with Schools Infrastructure NSW to determine how the proposal can best satisfy the demand it will create for both primary and high schools.</w:t>
            </w:r>
          </w:p>
        </w:tc>
      </w:tr>
      <w:tr w:rsidR="00A90B5D" w:rsidRPr="00AF7AEB" w14:paraId="3AEF148F" w14:textId="77777777" w:rsidTr="00D72C67">
        <w:trPr>
          <w:cnfStyle w:val="000000100000" w:firstRow="0" w:lastRow="0" w:firstColumn="0" w:lastColumn="0" w:oddVBand="0" w:evenVBand="0" w:oddHBand="1" w:evenHBand="0" w:firstRowFirstColumn="0" w:firstRowLastColumn="0" w:lastRowFirstColumn="0" w:lastRowLastColumn="0"/>
          <w:trHeight w:val="626"/>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C3C1F75"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7 </w:t>
            </w:r>
          </w:p>
        </w:tc>
        <w:tc>
          <w:tcPr>
            <w:tcW w:w="2835" w:type="dxa"/>
            <w:shd w:val="clear" w:color="auto" w:fill="DDD0ED" w:themeFill="text1" w:themeFillTint="33"/>
          </w:tcPr>
          <w:p w14:paraId="598FBE4B"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Communities are healthy, resilient and socially connected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6605B9F8" w14:textId="447F1362" w:rsidR="009D016B" w:rsidRDefault="009D016B" w:rsidP="009D016B">
            <w:pPr>
              <w:pStyle w:val="Default"/>
              <w:rPr>
                <w:rFonts w:ascii="Arial" w:hAnsi="Arial" w:cs="Arial"/>
                <w:sz w:val="20"/>
                <w:szCs w:val="20"/>
              </w:rPr>
            </w:pPr>
            <w:r w:rsidRPr="009D016B">
              <w:rPr>
                <w:rFonts w:ascii="Arial" w:hAnsi="Arial" w:cs="Arial"/>
                <w:sz w:val="20"/>
                <w:szCs w:val="20"/>
              </w:rPr>
              <w:t>The proposal will provide new pedestrian and cycleway connections to form part of a broader integrated network, promoting walkability and pedestrian movement along the Georges River foreshore, Lake Moore and Casula.</w:t>
            </w:r>
          </w:p>
          <w:p w14:paraId="5A177383" w14:textId="77777777" w:rsidR="009D016B" w:rsidRPr="009D016B" w:rsidRDefault="009D016B" w:rsidP="009D016B">
            <w:pPr>
              <w:pStyle w:val="Default"/>
              <w:rPr>
                <w:rFonts w:ascii="Arial" w:hAnsi="Arial" w:cs="Arial"/>
                <w:sz w:val="20"/>
                <w:szCs w:val="20"/>
              </w:rPr>
            </w:pPr>
          </w:p>
          <w:p w14:paraId="7A842792" w14:textId="04BC3D0F" w:rsidR="00A90B5D" w:rsidRPr="00AF7AEB" w:rsidRDefault="009D016B" w:rsidP="009D016B">
            <w:pPr>
              <w:pStyle w:val="Default"/>
              <w:rPr>
                <w:rFonts w:ascii="Arial" w:hAnsi="Arial" w:cs="Arial"/>
                <w:sz w:val="20"/>
                <w:szCs w:val="20"/>
              </w:rPr>
            </w:pPr>
            <w:r w:rsidRPr="009D016B">
              <w:rPr>
                <w:rFonts w:ascii="Arial" w:hAnsi="Arial" w:cs="Arial"/>
                <w:sz w:val="20"/>
                <w:szCs w:val="20"/>
              </w:rPr>
              <w:t>The proposal will establish a fine grain urban character in an area which is largely defined by large industrial lots as outlined in the sub-precinct character statements.</w:t>
            </w:r>
          </w:p>
        </w:tc>
      </w:tr>
      <w:tr w:rsidR="00A90B5D" w:rsidRPr="00AF7AEB" w14:paraId="48804D25"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00F489FE"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8 </w:t>
            </w:r>
          </w:p>
        </w:tc>
        <w:tc>
          <w:tcPr>
            <w:tcW w:w="2835" w:type="dxa"/>
            <w:shd w:val="clear" w:color="auto" w:fill="DDD0ED" w:themeFill="text1" w:themeFillTint="33"/>
          </w:tcPr>
          <w:p w14:paraId="405E9929" w14:textId="77777777" w:rsidR="00A90B5D" w:rsidRPr="00AF7AEB" w:rsidRDefault="00A90B5D"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Greater Sydney’s communities are culturally rich with diverse neighbourhoods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0826831B" w14:textId="34189995" w:rsidR="00A90B5D" w:rsidRPr="00AF7AEB" w:rsidRDefault="00D27E04" w:rsidP="00D27E04">
            <w:pPr>
              <w:pStyle w:val="Default"/>
              <w:rPr>
                <w:rFonts w:ascii="Arial" w:hAnsi="Arial" w:cs="Arial"/>
                <w:sz w:val="20"/>
                <w:szCs w:val="20"/>
              </w:rPr>
            </w:pPr>
            <w:r w:rsidRPr="00D27E04">
              <w:rPr>
                <w:rFonts w:ascii="Arial" w:hAnsi="Arial" w:cs="Arial"/>
                <w:sz w:val="20"/>
                <w:szCs w:val="20"/>
              </w:rPr>
              <w:t xml:space="preserve">The proposal will celebrate the identity and sense of place of the River City. In particular, the proposal seeks to utilise the existing local heritage item on the site (Pirelli Power Cables and Systems Building) as a focal point and destination for Liverpool CBD. The use of this item for retail </w:t>
            </w:r>
            <w:r w:rsidRPr="00D27E04">
              <w:rPr>
                <w:rFonts w:ascii="Arial" w:hAnsi="Arial" w:cs="Arial"/>
                <w:sz w:val="20"/>
                <w:szCs w:val="20"/>
              </w:rPr>
              <w:lastRenderedPageBreak/>
              <w:t>and marketplace purposes will provide opportunities to create new diverse neighbourhoods that are founded on an identity unique to the Georges River.</w:t>
            </w:r>
          </w:p>
        </w:tc>
      </w:tr>
      <w:tr w:rsidR="00A90B5D" w:rsidRPr="00AF7AEB" w14:paraId="58A9004F"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tbl>
            <w:tblPr>
              <w:tblW w:w="0" w:type="auto"/>
              <w:tblBorders>
                <w:top w:val="nil"/>
                <w:left w:val="nil"/>
                <w:bottom w:val="nil"/>
                <w:right w:val="nil"/>
              </w:tblBorders>
              <w:tblLayout w:type="fixed"/>
              <w:tblLook w:val="0000" w:firstRow="0" w:lastRow="0" w:firstColumn="0" w:lastColumn="0" w:noHBand="0" w:noVBand="0"/>
            </w:tblPr>
            <w:tblGrid>
              <w:gridCol w:w="3709"/>
              <w:gridCol w:w="3709"/>
              <w:gridCol w:w="3709"/>
            </w:tblGrid>
            <w:tr w:rsidR="00A90B5D" w:rsidRPr="00AF7AEB" w14:paraId="10CE5C27" w14:textId="77777777" w:rsidTr="00310535">
              <w:trPr>
                <w:trHeight w:val="359"/>
              </w:trPr>
              <w:tc>
                <w:tcPr>
                  <w:tcW w:w="3709" w:type="dxa"/>
                </w:tcPr>
                <w:p w14:paraId="7D1C4FF7" w14:textId="77777777" w:rsidR="00A90B5D" w:rsidRPr="00AF7AEB" w:rsidRDefault="00A90B5D" w:rsidP="00A90B5D">
                  <w:pPr>
                    <w:pStyle w:val="Default"/>
                    <w:framePr w:hSpace="180" w:wrap="around" w:hAnchor="margin" w:xAlign="center" w:y="-330"/>
                    <w:rPr>
                      <w:rFonts w:ascii="Arial" w:hAnsi="Arial" w:cs="Arial"/>
                      <w:sz w:val="20"/>
                      <w:szCs w:val="20"/>
                    </w:rPr>
                  </w:pPr>
                  <w:r w:rsidRPr="00AF7AEB">
                    <w:rPr>
                      <w:rFonts w:ascii="Arial" w:hAnsi="Arial" w:cs="Arial"/>
                      <w:sz w:val="20"/>
                      <w:szCs w:val="20"/>
                    </w:rPr>
                    <w:lastRenderedPageBreak/>
                    <w:t xml:space="preserve">Objective 9 </w:t>
                  </w:r>
                </w:p>
              </w:tc>
              <w:tc>
                <w:tcPr>
                  <w:tcW w:w="3709" w:type="dxa"/>
                </w:tcPr>
                <w:p w14:paraId="4234BA88" w14:textId="77777777" w:rsidR="00A90B5D" w:rsidRPr="00AF7AEB" w:rsidRDefault="00A90B5D" w:rsidP="00A90B5D">
                  <w:pPr>
                    <w:pStyle w:val="Default"/>
                    <w:framePr w:hSpace="180" w:wrap="around" w:hAnchor="margin" w:xAlign="center" w:y="-330"/>
                    <w:rPr>
                      <w:rFonts w:ascii="Arial" w:hAnsi="Arial" w:cs="Arial"/>
                      <w:sz w:val="20"/>
                      <w:szCs w:val="20"/>
                    </w:rPr>
                  </w:pPr>
                  <w:r w:rsidRPr="00AF7AEB">
                    <w:rPr>
                      <w:rFonts w:ascii="Arial" w:hAnsi="Arial" w:cs="Arial"/>
                      <w:sz w:val="20"/>
                      <w:szCs w:val="20"/>
                    </w:rPr>
                    <w:t xml:space="preserve">Greater Sydney celebrates the arts and supports creative industries and innovation </w:t>
                  </w:r>
                </w:p>
              </w:tc>
              <w:tc>
                <w:tcPr>
                  <w:tcW w:w="3709" w:type="dxa"/>
                </w:tcPr>
                <w:p w14:paraId="7BE4BA5C" w14:textId="77777777" w:rsidR="00A90B5D" w:rsidRPr="00AF7AEB" w:rsidRDefault="00A90B5D" w:rsidP="00A90B5D">
                  <w:pPr>
                    <w:pStyle w:val="Default"/>
                    <w:framePr w:hSpace="180" w:wrap="around" w:hAnchor="margin" w:xAlign="center" w:y="-330"/>
                    <w:rPr>
                      <w:rFonts w:ascii="Arial" w:hAnsi="Arial" w:cs="Arial"/>
                      <w:sz w:val="20"/>
                      <w:szCs w:val="20"/>
                    </w:rPr>
                  </w:pPr>
                  <w:r w:rsidRPr="00AF7AEB">
                    <w:rPr>
                      <w:rFonts w:ascii="Arial" w:hAnsi="Arial" w:cs="Arial"/>
                      <w:sz w:val="20"/>
                      <w:szCs w:val="20"/>
                    </w:rPr>
                    <w:t xml:space="preserve">The Proposal incorporates commercial uses at ground floor, which may assist with appropriate development of the night-time economy. </w:t>
                  </w:r>
                </w:p>
              </w:tc>
            </w:tr>
          </w:tbl>
          <w:p w14:paraId="57B1FA0A" w14:textId="77777777" w:rsidR="00A90B5D" w:rsidRPr="00AF7AEB" w:rsidRDefault="00A90B5D" w:rsidP="00A90B5D">
            <w:pPr>
              <w:pStyle w:val="Default"/>
              <w:rPr>
                <w:rFonts w:ascii="Arial" w:hAnsi="Arial" w:cs="Arial"/>
                <w:sz w:val="20"/>
                <w:szCs w:val="20"/>
              </w:rPr>
            </w:pPr>
          </w:p>
        </w:tc>
        <w:tc>
          <w:tcPr>
            <w:tcW w:w="2835" w:type="dxa"/>
            <w:shd w:val="clear" w:color="auto" w:fill="DDD0ED" w:themeFill="text1" w:themeFillTint="33"/>
          </w:tcPr>
          <w:p w14:paraId="61D24279"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Greater Sydney celebrates the arts and supports creative industries and innovation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DAA4A5F" w14:textId="1A256ED1" w:rsidR="0037370C" w:rsidRDefault="0037370C" w:rsidP="0037370C">
            <w:pPr>
              <w:pStyle w:val="Default"/>
              <w:rPr>
                <w:rFonts w:ascii="Arial" w:hAnsi="Arial" w:cs="Arial"/>
                <w:sz w:val="20"/>
                <w:szCs w:val="20"/>
              </w:rPr>
            </w:pPr>
            <w:r w:rsidRPr="0037370C">
              <w:rPr>
                <w:rFonts w:ascii="Arial" w:hAnsi="Arial" w:cs="Arial"/>
                <w:sz w:val="20"/>
                <w:szCs w:val="20"/>
              </w:rPr>
              <w:t xml:space="preserve">The proposal will provide new public spaces and street corners that will facilitate public art and opportunities for civic gathering. </w:t>
            </w:r>
          </w:p>
          <w:p w14:paraId="29190585" w14:textId="77777777" w:rsidR="0037370C" w:rsidRPr="0037370C" w:rsidRDefault="0037370C" w:rsidP="0037370C">
            <w:pPr>
              <w:pStyle w:val="Default"/>
              <w:rPr>
                <w:rFonts w:ascii="Arial" w:hAnsi="Arial" w:cs="Arial"/>
                <w:sz w:val="20"/>
                <w:szCs w:val="20"/>
              </w:rPr>
            </w:pPr>
          </w:p>
          <w:p w14:paraId="5A4D0AED" w14:textId="08F42B15" w:rsidR="00A90B5D" w:rsidRPr="00AF7AEB" w:rsidRDefault="0037370C" w:rsidP="0037370C">
            <w:pPr>
              <w:pStyle w:val="Default"/>
              <w:rPr>
                <w:rFonts w:ascii="Arial" w:hAnsi="Arial" w:cs="Arial"/>
                <w:sz w:val="20"/>
                <w:szCs w:val="20"/>
              </w:rPr>
            </w:pPr>
            <w:r w:rsidRPr="0037370C">
              <w:rPr>
                <w:rFonts w:ascii="Arial" w:hAnsi="Arial" w:cs="Arial"/>
                <w:sz w:val="20"/>
                <w:szCs w:val="20"/>
              </w:rPr>
              <w:t>The proposal will also ensure commercial/ bulky uses are retained on site to facilitate new industries and job opportunities along Newbridge Road, which is proposed to be zoned B6 Enterprise Corridor.</w:t>
            </w:r>
          </w:p>
        </w:tc>
      </w:tr>
      <w:tr w:rsidR="00A90B5D" w:rsidRPr="00AF7AEB" w14:paraId="02E9C1C5"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667DCB36"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HOUSING THE CITY </w:t>
            </w:r>
          </w:p>
        </w:tc>
      </w:tr>
      <w:tr w:rsidR="00A90B5D" w:rsidRPr="00AF7AEB" w14:paraId="46D13FC1"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5CBB4C4D"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Objective 10</w:t>
            </w:r>
          </w:p>
        </w:tc>
        <w:tc>
          <w:tcPr>
            <w:tcW w:w="2835" w:type="dxa"/>
            <w:shd w:val="clear" w:color="auto" w:fill="DDD0ED" w:themeFill="text1" w:themeFillTint="33"/>
          </w:tcPr>
          <w:p w14:paraId="186B067C"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Greater housing supply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CE48BBA"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The Proposal provides greater housing supply in an optimal, city-centre location and will assist the Western City in accommodating the anticipated population increase within the next 20 years. </w:t>
            </w:r>
          </w:p>
        </w:tc>
      </w:tr>
      <w:tr w:rsidR="00A90B5D" w:rsidRPr="00AF7AEB" w14:paraId="42080D95"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4879924"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Objective 11</w:t>
            </w:r>
          </w:p>
        </w:tc>
        <w:tc>
          <w:tcPr>
            <w:tcW w:w="2835" w:type="dxa"/>
            <w:shd w:val="clear" w:color="auto" w:fill="DDD0ED" w:themeFill="text1" w:themeFillTint="33"/>
          </w:tcPr>
          <w:p w14:paraId="410AE59A" w14:textId="77777777" w:rsidR="00A90B5D" w:rsidRPr="00AF7AEB" w:rsidRDefault="00A90B5D"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Housing is more diverse and affordable</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00006790" w14:textId="77777777" w:rsidR="00717625" w:rsidRDefault="00453539" w:rsidP="00A90B5D">
            <w:pPr>
              <w:pStyle w:val="Default"/>
              <w:rPr>
                <w:rFonts w:ascii="Arial" w:hAnsi="Arial" w:cs="Arial"/>
                <w:sz w:val="20"/>
                <w:szCs w:val="20"/>
              </w:rPr>
            </w:pPr>
            <w:r w:rsidRPr="00453539">
              <w:rPr>
                <w:rFonts w:ascii="Arial" w:hAnsi="Arial" w:cs="Arial"/>
                <w:sz w:val="20"/>
                <w:szCs w:val="20"/>
              </w:rPr>
              <w:t>The proposal would increase the number of residential apartments in the area, which is the dominant dwelling structure of the locale, though detached dwellings are the dominant dwelling type across the local government area. A site-specific DCP may need to specify a higher than current proportion of one-bedroom and three-bedroom apartments to improve diversity, given a predicted increase in student and single worker populations, as well as overcrowding issues that have been identified through Council’s Local Housing Study.</w:t>
            </w:r>
          </w:p>
          <w:p w14:paraId="2FCA407C" w14:textId="3FB16494" w:rsidR="00453539" w:rsidRDefault="00453539" w:rsidP="00A90B5D">
            <w:pPr>
              <w:pStyle w:val="Default"/>
              <w:rPr>
                <w:rFonts w:ascii="Arial" w:hAnsi="Arial" w:cs="Arial"/>
                <w:sz w:val="20"/>
                <w:szCs w:val="20"/>
              </w:rPr>
            </w:pPr>
          </w:p>
          <w:p w14:paraId="5A171185" w14:textId="5266AC20" w:rsidR="00453539" w:rsidRPr="00AF7AEB" w:rsidRDefault="00781CF4" w:rsidP="00A90B5D">
            <w:pPr>
              <w:pStyle w:val="Default"/>
              <w:rPr>
                <w:rFonts w:ascii="Arial" w:hAnsi="Arial" w:cs="Arial"/>
                <w:sz w:val="20"/>
                <w:szCs w:val="20"/>
              </w:rPr>
            </w:pPr>
            <w:r>
              <w:rPr>
                <w:rFonts w:ascii="Arial" w:hAnsi="Arial" w:cs="Arial"/>
                <w:sz w:val="20"/>
                <w:szCs w:val="20"/>
              </w:rPr>
              <w:t xml:space="preserve">A </w:t>
            </w:r>
            <w:r w:rsidRPr="00781CF4">
              <w:rPr>
                <w:rFonts w:ascii="Arial" w:hAnsi="Arial" w:cs="Arial"/>
                <w:sz w:val="20"/>
                <w:szCs w:val="20"/>
              </w:rPr>
              <w:t>Community Benefits Analysis provided indicates that the proposal could “deliver at least 5% affordable housing for key workers”, which is in line with the Regional Plan’s inclusionary zoning target of 5-10% “in defined precincts prior to rezoning”</w:t>
            </w:r>
            <w:r>
              <w:rPr>
                <w:rFonts w:ascii="Arial" w:hAnsi="Arial" w:cs="Arial"/>
                <w:sz w:val="20"/>
                <w:szCs w:val="20"/>
              </w:rPr>
              <w:t xml:space="preserve">. </w:t>
            </w:r>
            <w:r w:rsidR="008F7A2C">
              <w:rPr>
                <w:rFonts w:ascii="Arial" w:hAnsi="Arial" w:cs="Arial"/>
                <w:sz w:val="20"/>
                <w:szCs w:val="20"/>
              </w:rPr>
              <w:t>M</w:t>
            </w:r>
            <w:r w:rsidR="008317BD">
              <w:rPr>
                <w:rFonts w:ascii="Arial" w:hAnsi="Arial" w:cs="Arial"/>
                <w:sz w:val="20"/>
                <w:szCs w:val="20"/>
              </w:rPr>
              <w:t>echanism</w:t>
            </w:r>
            <w:r w:rsidR="008F7A2C">
              <w:rPr>
                <w:rFonts w:ascii="Arial" w:hAnsi="Arial" w:cs="Arial"/>
                <w:sz w:val="20"/>
                <w:szCs w:val="20"/>
              </w:rPr>
              <w:t>s</w:t>
            </w:r>
            <w:r w:rsidR="008317BD">
              <w:rPr>
                <w:rFonts w:ascii="Arial" w:hAnsi="Arial" w:cs="Arial"/>
                <w:sz w:val="20"/>
                <w:szCs w:val="20"/>
              </w:rPr>
              <w:t xml:space="preserve"> for ensuring affordable housing is delivered will need to be </w:t>
            </w:r>
            <w:r w:rsidR="008F7A2C">
              <w:rPr>
                <w:rFonts w:ascii="Arial" w:hAnsi="Arial" w:cs="Arial"/>
                <w:sz w:val="20"/>
                <w:szCs w:val="20"/>
              </w:rPr>
              <w:t>explored.</w:t>
            </w:r>
          </w:p>
        </w:tc>
      </w:tr>
      <w:tr w:rsidR="00A90B5D" w:rsidRPr="00AF7AEB" w14:paraId="2C9569A3"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49FDE70B"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A CITY OF GREAT PLACES </w:t>
            </w:r>
          </w:p>
        </w:tc>
      </w:tr>
      <w:tr w:rsidR="00A90B5D" w:rsidRPr="00AF7AEB" w14:paraId="10020B61"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7B02677B"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12 </w:t>
            </w:r>
          </w:p>
        </w:tc>
        <w:tc>
          <w:tcPr>
            <w:tcW w:w="2835" w:type="dxa"/>
            <w:shd w:val="clear" w:color="auto" w:fill="DDD0ED" w:themeFill="text1" w:themeFillTint="33"/>
          </w:tcPr>
          <w:p w14:paraId="2648CEA6" w14:textId="77777777" w:rsidR="00A90B5D" w:rsidRPr="00AF7AEB" w:rsidRDefault="00A90B5D"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Great places that bring people together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B810A96" w14:textId="4C80B9DB" w:rsidR="006E31B1" w:rsidRDefault="006E31B1" w:rsidP="006E31B1">
            <w:pPr>
              <w:pStyle w:val="Default"/>
              <w:rPr>
                <w:rFonts w:ascii="Arial" w:hAnsi="Arial" w:cs="Arial"/>
                <w:sz w:val="20"/>
                <w:szCs w:val="20"/>
              </w:rPr>
            </w:pPr>
            <w:r w:rsidRPr="006E31B1">
              <w:rPr>
                <w:rFonts w:ascii="Arial" w:hAnsi="Arial" w:cs="Arial"/>
                <w:sz w:val="20"/>
                <w:szCs w:val="20"/>
              </w:rPr>
              <w:t xml:space="preserve">The proposal seeks to unify Liverpool CBD with Moorebank. Under the current planning provisions, the site fails to respond and complement the changing aspirations and vision of Liverpool CBD. </w:t>
            </w:r>
          </w:p>
          <w:p w14:paraId="0166DBC2" w14:textId="77777777" w:rsidR="006E31B1" w:rsidRPr="006E31B1" w:rsidRDefault="006E31B1" w:rsidP="006E31B1">
            <w:pPr>
              <w:pStyle w:val="Default"/>
              <w:rPr>
                <w:rFonts w:ascii="Arial" w:hAnsi="Arial" w:cs="Arial"/>
                <w:sz w:val="20"/>
                <w:szCs w:val="20"/>
              </w:rPr>
            </w:pPr>
          </w:p>
          <w:p w14:paraId="522C7E9C" w14:textId="008013B5" w:rsidR="00A90B5D" w:rsidRPr="00AF7AEB" w:rsidRDefault="006E31B1" w:rsidP="006E31B1">
            <w:pPr>
              <w:pStyle w:val="Default"/>
              <w:rPr>
                <w:rFonts w:ascii="Arial" w:hAnsi="Arial" w:cs="Arial"/>
                <w:sz w:val="20"/>
                <w:szCs w:val="20"/>
              </w:rPr>
            </w:pPr>
            <w:r w:rsidRPr="006E31B1">
              <w:rPr>
                <w:rFonts w:ascii="Arial" w:hAnsi="Arial" w:cs="Arial"/>
                <w:sz w:val="20"/>
                <w:szCs w:val="20"/>
              </w:rPr>
              <w:t xml:space="preserve">The proposal will rebalance Liverpool CBD and focus of a vibrant mix of uses oriented around the Georges River foreshore including passive and active recreational opportunities and bridge connections.   </w:t>
            </w:r>
          </w:p>
        </w:tc>
      </w:tr>
      <w:tr w:rsidR="006E31B1" w:rsidRPr="00AF7AEB" w14:paraId="175BBDB5"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58BA1E54" w14:textId="38E7D9A8" w:rsidR="006E31B1" w:rsidRPr="00AF7AEB" w:rsidRDefault="006E31B1" w:rsidP="00A90B5D">
            <w:pPr>
              <w:pStyle w:val="Default"/>
              <w:rPr>
                <w:rFonts w:ascii="Arial" w:hAnsi="Arial" w:cs="Arial"/>
                <w:sz w:val="20"/>
                <w:szCs w:val="20"/>
              </w:rPr>
            </w:pPr>
            <w:r>
              <w:rPr>
                <w:rFonts w:ascii="Arial" w:hAnsi="Arial" w:cs="Arial"/>
                <w:sz w:val="20"/>
                <w:szCs w:val="20"/>
              </w:rPr>
              <w:t>Objective 13</w:t>
            </w:r>
          </w:p>
        </w:tc>
        <w:tc>
          <w:tcPr>
            <w:tcW w:w="2835" w:type="dxa"/>
            <w:shd w:val="clear" w:color="auto" w:fill="DDD0ED" w:themeFill="text1" w:themeFillTint="33"/>
          </w:tcPr>
          <w:p w14:paraId="772A67F6" w14:textId="3262DE33" w:rsidR="006E31B1" w:rsidRPr="00AF7AEB" w:rsidRDefault="00DA0CCC"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0CCC">
              <w:rPr>
                <w:rFonts w:ascii="Arial" w:hAnsi="Arial" w:cs="Arial"/>
                <w:sz w:val="20"/>
                <w:szCs w:val="20"/>
              </w:rPr>
              <w:t>Environmental heritage is identified, conserved and enhanced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6A29D6E5" w14:textId="640AA255" w:rsidR="00DD7F5A" w:rsidRDefault="00DD7F5A" w:rsidP="00DD7F5A">
            <w:pPr>
              <w:pStyle w:val="Default"/>
              <w:rPr>
                <w:rFonts w:ascii="Arial" w:hAnsi="Arial" w:cs="Arial"/>
                <w:sz w:val="20"/>
                <w:szCs w:val="20"/>
              </w:rPr>
            </w:pPr>
            <w:r w:rsidRPr="00DD7F5A">
              <w:rPr>
                <w:rFonts w:ascii="Arial" w:hAnsi="Arial" w:cs="Arial"/>
                <w:sz w:val="20"/>
                <w:szCs w:val="20"/>
              </w:rPr>
              <w:t>The proposal will adaptively reuse a local heritage item on the site (Pirelli Power Cables and Systems Building) for a future retail and marketplace.</w:t>
            </w:r>
          </w:p>
          <w:p w14:paraId="07029609" w14:textId="77777777" w:rsidR="00DD7F5A" w:rsidRPr="00DD7F5A" w:rsidRDefault="00DD7F5A" w:rsidP="00DD7F5A">
            <w:pPr>
              <w:pStyle w:val="Default"/>
              <w:rPr>
                <w:rFonts w:ascii="Arial" w:hAnsi="Arial" w:cs="Arial"/>
                <w:sz w:val="20"/>
                <w:szCs w:val="20"/>
              </w:rPr>
            </w:pPr>
          </w:p>
          <w:p w14:paraId="30E33457" w14:textId="6225ED3A" w:rsidR="006E31B1" w:rsidRPr="006E31B1" w:rsidRDefault="00DD7F5A" w:rsidP="00DD7F5A">
            <w:pPr>
              <w:pStyle w:val="Default"/>
              <w:rPr>
                <w:rFonts w:ascii="Arial" w:hAnsi="Arial" w:cs="Arial"/>
                <w:sz w:val="20"/>
                <w:szCs w:val="20"/>
              </w:rPr>
            </w:pPr>
            <w:r w:rsidRPr="00DD7F5A">
              <w:rPr>
                <w:rFonts w:ascii="Arial" w:hAnsi="Arial" w:cs="Arial"/>
                <w:sz w:val="20"/>
                <w:szCs w:val="20"/>
              </w:rPr>
              <w:t>This will ensure that the unique environmental assets of the site are utilised and celebrated.</w:t>
            </w:r>
          </w:p>
        </w:tc>
      </w:tr>
      <w:tr w:rsidR="00A90B5D" w:rsidRPr="00AF7AEB" w14:paraId="4866A4E0"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397B4083"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lastRenderedPageBreak/>
              <w:t xml:space="preserve">A WELL-CONNECTED CITY </w:t>
            </w:r>
          </w:p>
        </w:tc>
      </w:tr>
      <w:tr w:rsidR="00A90B5D" w:rsidRPr="00AF7AEB" w14:paraId="3B3F5B6F"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24D00390"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14 </w:t>
            </w:r>
          </w:p>
        </w:tc>
        <w:tc>
          <w:tcPr>
            <w:tcW w:w="2835" w:type="dxa"/>
            <w:shd w:val="clear" w:color="auto" w:fill="DDD0ED" w:themeFill="text1" w:themeFillTint="33"/>
          </w:tcPr>
          <w:p w14:paraId="5B256B26"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A Metropolis of Three Cities – integrated land use and transport creates walkable and 30-minute cities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3F4CAAD4" w14:textId="157707F1" w:rsidR="00D34A11" w:rsidRDefault="00D34A11" w:rsidP="00D34A11">
            <w:pPr>
              <w:pStyle w:val="Default"/>
              <w:rPr>
                <w:rFonts w:ascii="Arial" w:hAnsi="Arial" w:cs="Arial"/>
                <w:sz w:val="20"/>
                <w:szCs w:val="20"/>
              </w:rPr>
            </w:pPr>
            <w:r w:rsidRPr="00D34A11">
              <w:rPr>
                <w:rFonts w:ascii="Arial" w:hAnsi="Arial" w:cs="Arial"/>
                <w:sz w:val="20"/>
                <w:szCs w:val="20"/>
              </w:rPr>
              <w:t>The site is located within excellent proximity of Liverpool CBD, which connects residents and employers across Sydney and to the future Badgery’s Creek Aerotropolis.</w:t>
            </w:r>
          </w:p>
          <w:p w14:paraId="1278664B" w14:textId="77777777" w:rsidR="00D34A11" w:rsidRPr="00D34A11" w:rsidRDefault="00D34A11" w:rsidP="00D34A11">
            <w:pPr>
              <w:pStyle w:val="Default"/>
              <w:rPr>
                <w:rFonts w:ascii="Arial" w:hAnsi="Arial" w:cs="Arial"/>
                <w:sz w:val="20"/>
                <w:szCs w:val="20"/>
              </w:rPr>
            </w:pPr>
          </w:p>
          <w:p w14:paraId="7B42547D" w14:textId="2FF91880" w:rsidR="00D34A11" w:rsidRDefault="00D34A11" w:rsidP="00D34A11">
            <w:pPr>
              <w:pStyle w:val="Default"/>
              <w:rPr>
                <w:rFonts w:ascii="Arial" w:hAnsi="Arial" w:cs="Arial"/>
                <w:sz w:val="20"/>
                <w:szCs w:val="20"/>
              </w:rPr>
            </w:pPr>
            <w:r w:rsidRPr="00D34A11">
              <w:rPr>
                <w:rFonts w:ascii="Arial" w:hAnsi="Arial" w:cs="Arial"/>
                <w:sz w:val="20"/>
                <w:szCs w:val="20"/>
              </w:rPr>
              <w:t>The proposal will provide new cycle and pedestrian links coordinated across the Moorebank area to improve connections to Liverpool CBD.</w:t>
            </w:r>
          </w:p>
          <w:p w14:paraId="022DA465" w14:textId="77777777" w:rsidR="00D34A11" w:rsidRPr="00D34A11" w:rsidRDefault="00D34A11" w:rsidP="00D34A11">
            <w:pPr>
              <w:pStyle w:val="Default"/>
              <w:rPr>
                <w:rFonts w:ascii="Arial" w:hAnsi="Arial" w:cs="Arial"/>
                <w:sz w:val="20"/>
                <w:szCs w:val="20"/>
              </w:rPr>
            </w:pPr>
          </w:p>
          <w:p w14:paraId="458C87B7" w14:textId="5A1182F7" w:rsidR="00A90B5D" w:rsidRPr="00AF7AEB" w:rsidRDefault="00D34A11" w:rsidP="00D34A11">
            <w:pPr>
              <w:pStyle w:val="Default"/>
              <w:rPr>
                <w:rFonts w:ascii="Arial" w:hAnsi="Arial" w:cs="Arial"/>
                <w:sz w:val="20"/>
                <w:szCs w:val="20"/>
              </w:rPr>
            </w:pPr>
            <w:r w:rsidRPr="00D34A11">
              <w:rPr>
                <w:rFonts w:ascii="Arial" w:hAnsi="Arial" w:cs="Arial"/>
                <w:sz w:val="20"/>
                <w:szCs w:val="20"/>
              </w:rPr>
              <w:t>The proposal provides capacity for a future Southwest metro extension into Liverpool CBD, which would further integrate land use around transport.</w:t>
            </w:r>
          </w:p>
        </w:tc>
      </w:tr>
      <w:tr w:rsidR="00A90B5D" w:rsidRPr="00AF7AEB" w14:paraId="06E4C780"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08A39701" w14:textId="500AC98E"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JOBS AND SKILLS FOR THE CITY </w:t>
            </w:r>
          </w:p>
        </w:tc>
      </w:tr>
      <w:tr w:rsidR="00A90B5D" w:rsidRPr="00AF7AEB" w14:paraId="669FEE2E"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11C62D94"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20 </w:t>
            </w:r>
          </w:p>
        </w:tc>
        <w:tc>
          <w:tcPr>
            <w:tcW w:w="2835" w:type="dxa"/>
            <w:shd w:val="clear" w:color="auto" w:fill="DDD0ED" w:themeFill="text1" w:themeFillTint="33"/>
          </w:tcPr>
          <w:p w14:paraId="7ACF4374"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Western Sydney Airport and Badgerys Creek Aerotropolis are economic catalysts for Western Parkland City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C5BBE49" w14:textId="0B61E625" w:rsidR="00A90B5D" w:rsidRPr="00AF7AEB" w:rsidRDefault="00D70458" w:rsidP="00A90B5D">
            <w:pPr>
              <w:pStyle w:val="Default"/>
              <w:rPr>
                <w:rFonts w:ascii="Arial" w:hAnsi="Arial" w:cs="Arial"/>
                <w:sz w:val="20"/>
                <w:szCs w:val="20"/>
              </w:rPr>
            </w:pPr>
            <w:r w:rsidRPr="00D70458">
              <w:rPr>
                <w:rFonts w:ascii="Arial" w:hAnsi="Arial" w:cs="Arial"/>
                <w:sz w:val="20"/>
                <w:szCs w:val="20"/>
              </w:rPr>
              <w:t xml:space="preserve">The proposal will ensure residents are living within a closer proximity to the potential economic benefits of Badgery’s Creek and the western city, which will be accessible via the FAST Corridor.   </w:t>
            </w:r>
          </w:p>
        </w:tc>
      </w:tr>
      <w:tr w:rsidR="00A90B5D" w:rsidRPr="00AF7AEB" w14:paraId="607D92DE"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208137B3"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Objective 21</w:t>
            </w:r>
          </w:p>
        </w:tc>
        <w:tc>
          <w:tcPr>
            <w:tcW w:w="2835" w:type="dxa"/>
            <w:shd w:val="clear" w:color="auto" w:fill="DDD0ED" w:themeFill="text1" w:themeFillTint="33"/>
          </w:tcPr>
          <w:p w14:paraId="18429177" w14:textId="77777777" w:rsidR="00A90B5D" w:rsidRPr="00AF7AEB" w:rsidRDefault="00A90B5D"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Internationally competitive health, education, research and innovation precincts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0FA00BA5" w14:textId="2AD5B213" w:rsidR="004F3CC9" w:rsidRDefault="004F3CC9" w:rsidP="004F3CC9">
            <w:pPr>
              <w:pStyle w:val="Default"/>
              <w:rPr>
                <w:rFonts w:ascii="Arial" w:hAnsi="Arial" w:cs="Arial"/>
                <w:sz w:val="20"/>
                <w:szCs w:val="20"/>
              </w:rPr>
            </w:pPr>
            <w:r w:rsidRPr="004F3CC9">
              <w:rPr>
                <w:rFonts w:ascii="Arial" w:hAnsi="Arial" w:cs="Arial"/>
                <w:sz w:val="20"/>
                <w:szCs w:val="20"/>
              </w:rPr>
              <w:t xml:space="preserve">The proposal will contribute to the regeneration of Moorebank, facilitating new residents into the area who will benefit from close proximity to Liverpool’s existing key education and health assets and transport infrastructure. </w:t>
            </w:r>
          </w:p>
          <w:p w14:paraId="631D510D" w14:textId="77777777" w:rsidR="004F3CC9" w:rsidRPr="004F3CC9" w:rsidRDefault="004F3CC9" w:rsidP="004F3CC9">
            <w:pPr>
              <w:pStyle w:val="Default"/>
              <w:rPr>
                <w:rFonts w:ascii="Arial" w:hAnsi="Arial" w:cs="Arial"/>
                <w:sz w:val="20"/>
                <w:szCs w:val="20"/>
              </w:rPr>
            </w:pPr>
          </w:p>
          <w:p w14:paraId="4CD347FD" w14:textId="09EB818D" w:rsidR="00A90B5D" w:rsidRPr="00AF7AEB" w:rsidRDefault="004F3CC9" w:rsidP="004F3CC9">
            <w:pPr>
              <w:pStyle w:val="Default"/>
              <w:rPr>
                <w:rFonts w:ascii="Arial" w:hAnsi="Arial" w:cs="Arial"/>
                <w:sz w:val="20"/>
                <w:szCs w:val="20"/>
              </w:rPr>
            </w:pPr>
            <w:r w:rsidRPr="004F3CC9">
              <w:rPr>
                <w:rFonts w:ascii="Arial" w:hAnsi="Arial" w:cs="Arial"/>
                <w:sz w:val="20"/>
                <w:szCs w:val="20"/>
              </w:rPr>
              <w:t>The proposal will facilitate high-quality residential and services in close proximity to the major Liverpool institutions including Western Sydney University and Liverpool Hospital, as well as providing capacity for educational and cultural institutions on the site.</w:t>
            </w:r>
          </w:p>
        </w:tc>
      </w:tr>
      <w:tr w:rsidR="00A90B5D" w:rsidRPr="00AF7AEB" w14:paraId="0FD35EBF"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4C78464F"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 xml:space="preserve">Objective 22 </w:t>
            </w:r>
          </w:p>
        </w:tc>
        <w:tc>
          <w:tcPr>
            <w:tcW w:w="2835" w:type="dxa"/>
            <w:shd w:val="clear" w:color="auto" w:fill="DDD0ED" w:themeFill="text1" w:themeFillTint="33"/>
          </w:tcPr>
          <w:p w14:paraId="3D2E219C" w14:textId="77777777" w:rsidR="00A90B5D" w:rsidRPr="00AF7AEB" w:rsidRDefault="00A90B5D"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Investment and business activity in centres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0EB1859" w14:textId="75530C08" w:rsidR="00356B19" w:rsidRDefault="00356B19" w:rsidP="00356B19">
            <w:pPr>
              <w:pStyle w:val="Default"/>
              <w:rPr>
                <w:rFonts w:ascii="Arial" w:hAnsi="Arial" w:cs="Arial"/>
                <w:sz w:val="20"/>
                <w:szCs w:val="20"/>
              </w:rPr>
            </w:pPr>
            <w:r w:rsidRPr="00356B19">
              <w:rPr>
                <w:rFonts w:ascii="Arial" w:hAnsi="Arial" w:cs="Arial"/>
                <w:sz w:val="20"/>
                <w:szCs w:val="20"/>
              </w:rPr>
              <w:t xml:space="preserve">The proposal will facilitate increased business activity in Moorebank and Liverpool CBD by providing critical mass of new residents. This in turn will facilitate the demand for additional services and business in the CBD and the site itself. </w:t>
            </w:r>
          </w:p>
          <w:p w14:paraId="0E017689" w14:textId="77777777" w:rsidR="00356B19" w:rsidRPr="00356B19" w:rsidRDefault="00356B19" w:rsidP="00356B19">
            <w:pPr>
              <w:pStyle w:val="Default"/>
              <w:rPr>
                <w:rFonts w:ascii="Arial" w:hAnsi="Arial" w:cs="Arial"/>
                <w:sz w:val="20"/>
                <w:szCs w:val="20"/>
              </w:rPr>
            </w:pPr>
          </w:p>
          <w:p w14:paraId="2DCC4081" w14:textId="06120014" w:rsidR="00A90B5D" w:rsidRPr="00AF7AEB" w:rsidRDefault="00356B19" w:rsidP="00356B19">
            <w:pPr>
              <w:pStyle w:val="Default"/>
              <w:rPr>
                <w:rFonts w:ascii="Arial" w:hAnsi="Arial" w:cs="Arial"/>
                <w:sz w:val="20"/>
                <w:szCs w:val="20"/>
              </w:rPr>
            </w:pPr>
            <w:r w:rsidRPr="00356B19">
              <w:rPr>
                <w:rFonts w:ascii="Arial" w:hAnsi="Arial" w:cs="Arial"/>
                <w:sz w:val="20"/>
                <w:szCs w:val="20"/>
              </w:rPr>
              <w:t>Importantly, the uses and floorspace proposed would act as complementary, and not in competition with the CBD. The proposal has capacity to deliver 23,000 new jobs in the long-term up to 2051.</w:t>
            </w:r>
          </w:p>
        </w:tc>
      </w:tr>
      <w:tr w:rsidR="009F2F70" w:rsidRPr="00AF7AEB" w14:paraId="6E572717"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0C276CDC" w14:textId="04BCF2B9" w:rsidR="009F2F70" w:rsidRPr="00AF7AEB" w:rsidRDefault="009F2F70" w:rsidP="00A90B5D">
            <w:pPr>
              <w:pStyle w:val="Default"/>
              <w:rPr>
                <w:rFonts w:ascii="Arial" w:hAnsi="Arial" w:cs="Arial"/>
                <w:sz w:val="20"/>
                <w:szCs w:val="20"/>
              </w:rPr>
            </w:pPr>
            <w:r w:rsidRPr="00AF7AEB">
              <w:rPr>
                <w:rFonts w:ascii="Arial" w:hAnsi="Arial" w:cs="Arial"/>
                <w:sz w:val="20"/>
                <w:szCs w:val="20"/>
              </w:rPr>
              <w:t>Objective 2</w:t>
            </w:r>
            <w:r>
              <w:rPr>
                <w:rFonts w:ascii="Arial" w:hAnsi="Arial" w:cs="Arial"/>
                <w:sz w:val="20"/>
                <w:szCs w:val="20"/>
              </w:rPr>
              <w:t>3</w:t>
            </w:r>
          </w:p>
        </w:tc>
        <w:tc>
          <w:tcPr>
            <w:tcW w:w="2835" w:type="dxa"/>
            <w:shd w:val="clear" w:color="auto" w:fill="DDD0ED" w:themeFill="text1" w:themeFillTint="33"/>
          </w:tcPr>
          <w:p w14:paraId="5F87DA49" w14:textId="02B7CD1A" w:rsidR="009F2F70" w:rsidRPr="00AF7AEB" w:rsidRDefault="0003123D" w:rsidP="00A90B5D">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3123D">
              <w:rPr>
                <w:rFonts w:ascii="Arial" w:hAnsi="Arial" w:cs="Arial"/>
                <w:sz w:val="20"/>
                <w:szCs w:val="20"/>
              </w:rPr>
              <w:t>Industrial and urban services land is planned, retained and managed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0B9BDE99" w14:textId="77FA5F21" w:rsidR="005B2FC6" w:rsidRDefault="005B2FC6" w:rsidP="005B2FC6">
            <w:pPr>
              <w:pStyle w:val="Default"/>
              <w:rPr>
                <w:rFonts w:ascii="Arial" w:hAnsi="Arial" w:cs="Arial"/>
                <w:sz w:val="20"/>
                <w:szCs w:val="20"/>
              </w:rPr>
            </w:pPr>
            <w:r w:rsidRPr="005B2FC6">
              <w:rPr>
                <w:rFonts w:ascii="Arial" w:hAnsi="Arial" w:cs="Arial"/>
                <w:sz w:val="20"/>
                <w:szCs w:val="20"/>
              </w:rPr>
              <w:t xml:space="preserve">The proposal seeks to rezone land from industrial to mixed use and recreational purposes. </w:t>
            </w:r>
          </w:p>
          <w:p w14:paraId="5B207DCE" w14:textId="77777777" w:rsidR="005B2FC6" w:rsidRPr="005B2FC6" w:rsidRDefault="005B2FC6" w:rsidP="005B2FC6">
            <w:pPr>
              <w:pStyle w:val="Default"/>
              <w:rPr>
                <w:rFonts w:ascii="Arial" w:hAnsi="Arial" w:cs="Arial"/>
                <w:sz w:val="20"/>
                <w:szCs w:val="20"/>
              </w:rPr>
            </w:pPr>
          </w:p>
          <w:p w14:paraId="75B744E2" w14:textId="6C74128A" w:rsidR="005B2FC6" w:rsidRDefault="005B2FC6" w:rsidP="005B2FC6">
            <w:pPr>
              <w:pStyle w:val="Default"/>
              <w:rPr>
                <w:rFonts w:ascii="Arial" w:hAnsi="Arial" w:cs="Arial"/>
                <w:sz w:val="20"/>
                <w:szCs w:val="20"/>
              </w:rPr>
            </w:pPr>
            <w:r w:rsidRPr="005B2FC6">
              <w:rPr>
                <w:rFonts w:ascii="Arial" w:hAnsi="Arial" w:cs="Arial"/>
                <w:sz w:val="20"/>
                <w:szCs w:val="20"/>
              </w:rPr>
              <w:t>The District Plan states that where appropriate, conversion of industrial lands into other uses may be appropriate. Moore Point is identified in the District Plan as ‘Review and Manage’.</w:t>
            </w:r>
          </w:p>
          <w:p w14:paraId="470C0E84" w14:textId="77777777" w:rsidR="005B2FC6" w:rsidRPr="005B2FC6" w:rsidRDefault="005B2FC6" w:rsidP="005B2FC6">
            <w:pPr>
              <w:pStyle w:val="Default"/>
              <w:rPr>
                <w:rFonts w:ascii="Arial" w:hAnsi="Arial" w:cs="Arial"/>
                <w:sz w:val="20"/>
                <w:szCs w:val="20"/>
              </w:rPr>
            </w:pPr>
          </w:p>
          <w:p w14:paraId="63686BE5" w14:textId="3FC74C44" w:rsidR="005B2FC6" w:rsidRDefault="005B2FC6" w:rsidP="005B2FC6">
            <w:pPr>
              <w:pStyle w:val="Default"/>
              <w:rPr>
                <w:rFonts w:ascii="Arial" w:hAnsi="Arial" w:cs="Arial"/>
                <w:sz w:val="20"/>
                <w:szCs w:val="20"/>
              </w:rPr>
            </w:pPr>
            <w:r w:rsidRPr="005B2FC6">
              <w:rPr>
                <w:rFonts w:ascii="Arial" w:hAnsi="Arial" w:cs="Arial"/>
                <w:sz w:val="20"/>
                <w:szCs w:val="20"/>
              </w:rPr>
              <w:t>As identified in the Place Strategy, the site is located in the Georges River North Precinct, which is envisaged to accommodate a mix of land uses.</w:t>
            </w:r>
            <w:r>
              <w:rPr>
                <w:rFonts w:ascii="Arial" w:hAnsi="Arial" w:cs="Arial"/>
                <w:sz w:val="20"/>
                <w:szCs w:val="20"/>
              </w:rPr>
              <w:t xml:space="preserve"> </w:t>
            </w:r>
            <w:r w:rsidRPr="005B2FC6">
              <w:rPr>
                <w:rFonts w:ascii="Arial" w:hAnsi="Arial" w:cs="Arial"/>
                <w:sz w:val="20"/>
                <w:szCs w:val="20"/>
              </w:rPr>
              <w:t xml:space="preserve">Furthermore, the </w:t>
            </w:r>
            <w:r w:rsidR="00DA2413">
              <w:rPr>
                <w:rFonts w:ascii="Arial" w:hAnsi="Arial" w:cs="Arial"/>
                <w:sz w:val="20"/>
                <w:szCs w:val="20"/>
              </w:rPr>
              <w:t xml:space="preserve">adopted </w:t>
            </w:r>
            <w:r w:rsidRPr="005B2FC6">
              <w:rPr>
                <w:rFonts w:ascii="Arial" w:hAnsi="Arial" w:cs="Arial"/>
                <w:sz w:val="20"/>
                <w:szCs w:val="20"/>
              </w:rPr>
              <w:t xml:space="preserve">LSPS advances a mixed-use vision for the Precinct via a rezoning in the short to medium term. </w:t>
            </w:r>
          </w:p>
          <w:p w14:paraId="5BC5AD22" w14:textId="498FE8C9" w:rsidR="008B06B5" w:rsidRDefault="008B06B5" w:rsidP="005B2FC6">
            <w:pPr>
              <w:pStyle w:val="Default"/>
              <w:rPr>
                <w:rFonts w:ascii="Arial" w:hAnsi="Arial" w:cs="Arial"/>
                <w:sz w:val="20"/>
                <w:szCs w:val="20"/>
              </w:rPr>
            </w:pPr>
          </w:p>
          <w:p w14:paraId="30E25564" w14:textId="6525D49B" w:rsidR="008B06B5" w:rsidRDefault="00DF1D77" w:rsidP="005B2FC6">
            <w:pPr>
              <w:pStyle w:val="Default"/>
              <w:rPr>
                <w:rFonts w:ascii="Arial" w:hAnsi="Arial" w:cs="Arial"/>
                <w:sz w:val="20"/>
                <w:szCs w:val="20"/>
              </w:rPr>
            </w:pPr>
            <w:r>
              <w:rPr>
                <w:rFonts w:ascii="Arial" w:hAnsi="Arial" w:cs="Arial"/>
                <w:sz w:val="20"/>
                <w:szCs w:val="20"/>
              </w:rPr>
              <w:t>T</w:t>
            </w:r>
            <w:r w:rsidRPr="00DF1D77">
              <w:rPr>
                <w:rFonts w:ascii="Arial" w:hAnsi="Arial" w:cs="Arial"/>
                <w:sz w:val="20"/>
                <w:szCs w:val="20"/>
              </w:rPr>
              <w:t>here has been a clear mandate from a suite of strategic planning documents to reconsider land uses east of the Georges River and north of Newbridge Road for mixed use purposes.</w:t>
            </w:r>
          </w:p>
          <w:p w14:paraId="12B52AD6" w14:textId="77777777" w:rsidR="005B2FC6" w:rsidRPr="005B2FC6" w:rsidRDefault="005B2FC6" w:rsidP="005B2FC6">
            <w:pPr>
              <w:pStyle w:val="Default"/>
              <w:rPr>
                <w:rFonts w:ascii="Arial" w:hAnsi="Arial" w:cs="Arial"/>
                <w:sz w:val="20"/>
                <w:szCs w:val="20"/>
              </w:rPr>
            </w:pPr>
          </w:p>
          <w:p w14:paraId="30E08B36" w14:textId="77777777" w:rsidR="009F2F70" w:rsidRDefault="005B2FC6" w:rsidP="005B2FC6">
            <w:pPr>
              <w:pStyle w:val="Default"/>
              <w:rPr>
                <w:rFonts w:ascii="Arial" w:hAnsi="Arial" w:cs="Arial"/>
                <w:sz w:val="20"/>
                <w:szCs w:val="20"/>
              </w:rPr>
            </w:pPr>
            <w:r w:rsidRPr="005B2FC6">
              <w:rPr>
                <w:rFonts w:ascii="Arial" w:hAnsi="Arial" w:cs="Arial"/>
                <w:sz w:val="20"/>
                <w:szCs w:val="20"/>
              </w:rPr>
              <w:t>Given the strategic line of sight and consistency amongst strategic planning to see a mix of uses on the site, the site provides a circumstance where conversion would be appropriate to satisfy the overall strategic vision for Liverpool’s diversifying and expanding CBD.</w:t>
            </w:r>
          </w:p>
          <w:p w14:paraId="6A046352" w14:textId="77777777" w:rsidR="00684289" w:rsidRDefault="00684289" w:rsidP="005B2FC6">
            <w:pPr>
              <w:pStyle w:val="Default"/>
              <w:rPr>
                <w:rFonts w:ascii="Arial" w:hAnsi="Arial" w:cs="Arial"/>
                <w:sz w:val="20"/>
                <w:szCs w:val="20"/>
              </w:rPr>
            </w:pPr>
          </w:p>
          <w:p w14:paraId="79CDFC5B" w14:textId="07BCF98D" w:rsidR="00684289" w:rsidRPr="00356B19" w:rsidRDefault="00684289" w:rsidP="005B2FC6">
            <w:pPr>
              <w:pStyle w:val="Default"/>
              <w:rPr>
                <w:rFonts w:ascii="Arial" w:hAnsi="Arial" w:cs="Arial"/>
                <w:sz w:val="20"/>
                <w:szCs w:val="20"/>
              </w:rPr>
            </w:pPr>
            <w:r w:rsidRPr="00684289">
              <w:rPr>
                <w:rFonts w:ascii="Arial" w:hAnsi="Arial" w:cs="Arial"/>
                <w:sz w:val="20"/>
                <w:szCs w:val="20"/>
              </w:rPr>
              <w:t xml:space="preserve">An Economic Impact Assessment has </w:t>
            </w:r>
            <w:r w:rsidR="00DA2413">
              <w:rPr>
                <w:rFonts w:ascii="Arial" w:hAnsi="Arial" w:cs="Arial"/>
                <w:sz w:val="20"/>
                <w:szCs w:val="20"/>
              </w:rPr>
              <w:t xml:space="preserve">also </w:t>
            </w:r>
            <w:r w:rsidRPr="00684289">
              <w:rPr>
                <w:rFonts w:ascii="Arial" w:hAnsi="Arial" w:cs="Arial"/>
                <w:sz w:val="20"/>
                <w:szCs w:val="20"/>
              </w:rPr>
              <w:t>been prepared by Hill, which considers the potential loss of industrial lands.</w:t>
            </w:r>
          </w:p>
        </w:tc>
      </w:tr>
      <w:tr w:rsidR="009F2F70" w:rsidRPr="00AF7AEB" w14:paraId="3DC9309F"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20839D43" w14:textId="7D899C08" w:rsidR="009F2F70" w:rsidRPr="00AF7AEB" w:rsidRDefault="009F2F70" w:rsidP="00A90B5D">
            <w:pPr>
              <w:pStyle w:val="Default"/>
              <w:rPr>
                <w:rFonts w:ascii="Arial" w:hAnsi="Arial" w:cs="Arial"/>
                <w:sz w:val="20"/>
                <w:szCs w:val="20"/>
              </w:rPr>
            </w:pPr>
            <w:r w:rsidRPr="00AF7AEB">
              <w:rPr>
                <w:rFonts w:ascii="Arial" w:hAnsi="Arial" w:cs="Arial"/>
                <w:sz w:val="20"/>
                <w:szCs w:val="20"/>
              </w:rPr>
              <w:lastRenderedPageBreak/>
              <w:t>Objective 2</w:t>
            </w:r>
            <w:r>
              <w:rPr>
                <w:rFonts w:ascii="Arial" w:hAnsi="Arial" w:cs="Arial"/>
                <w:sz w:val="20"/>
                <w:szCs w:val="20"/>
              </w:rPr>
              <w:t>4</w:t>
            </w:r>
          </w:p>
        </w:tc>
        <w:tc>
          <w:tcPr>
            <w:tcW w:w="2835" w:type="dxa"/>
            <w:shd w:val="clear" w:color="auto" w:fill="DDD0ED" w:themeFill="text1" w:themeFillTint="33"/>
          </w:tcPr>
          <w:p w14:paraId="7434C936" w14:textId="590673D6" w:rsidR="009F2F70" w:rsidRPr="00AF7AEB" w:rsidRDefault="000C0879" w:rsidP="00A90B5D">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C0879">
              <w:rPr>
                <w:rFonts w:ascii="Arial" w:hAnsi="Arial" w:cs="Arial"/>
                <w:sz w:val="20"/>
                <w:szCs w:val="20"/>
              </w:rPr>
              <w:t>Economic sectors are targeted for success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28180D76" w14:textId="6561E4CA" w:rsidR="009F2F70" w:rsidRPr="00356B19" w:rsidRDefault="001D53D7" w:rsidP="00356B19">
            <w:pPr>
              <w:pStyle w:val="Default"/>
              <w:rPr>
                <w:rFonts w:ascii="Arial" w:hAnsi="Arial" w:cs="Arial"/>
                <w:sz w:val="20"/>
                <w:szCs w:val="20"/>
              </w:rPr>
            </w:pPr>
            <w:r w:rsidRPr="001D53D7">
              <w:rPr>
                <w:rFonts w:ascii="Arial" w:hAnsi="Arial" w:cs="Arial"/>
                <w:sz w:val="20"/>
                <w:szCs w:val="20"/>
              </w:rPr>
              <w:t>The proposal will increase employment opportunities in the precinct by proposing non-residential floor space that can be allocated to a mix of entertainment, retail, commercial and business uses. The proposal is capable of delivering up to 23,000 new jobs by 2051.</w:t>
            </w:r>
          </w:p>
        </w:tc>
      </w:tr>
      <w:tr w:rsidR="00A90B5D" w:rsidRPr="00AF7AEB" w14:paraId="3747417E"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3AE67C9C" w14:textId="77777777" w:rsidR="00A90B5D" w:rsidRPr="00AF7AEB" w:rsidRDefault="00A90B5D" w:rsidP="00A90B5D">
            <w:pPr>
              <w:pStyle w:val="Default"/>
              <w:rPr>
                <w:rFonts w:ascii="Arial" w:hAnsi="Arial" w:cs="Arial"/>
                <w:sz w:val="20"/>
                <w:szCs w:val="20"/>
              </w:rPr>
            </w:pPr>
            <w:r w:rsidRPr="00AF7AEB">
              <w:rPr>
                <w:rFonts w:ascii="Arial" w:hAnsi="Arial" w:cs="Arial"/>
                <w:sz w:val="20"/>
                <w:szCs w:val="20"/>
              </w:rPr>
              <w:t>A CITY IN ITS LANDSCAPE</w:t>
            </w:r>
          </w:p>
        </w:tc>
      </w:tr>
      <w:tr w:rsidR="00BF3775" w:rsidRPr="00AF7AEB" w14:paraId="23288C7C"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2DB9BD9" w14:textId="3F439061"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2</w:t>
            </w:r>
            <w:r>
              <w:rPr>
                <w:rFonts w:ascii="Arial" w:hAnsi="Arial" w:cs="Arial"/>
                <w:sz w:val="20"/>
                <w:szCs w:val="20"/>
              </w:rPr>
              <w:t>5</w:t>
            </w:r>
          </w:p>
        </w:tc>
        <w:tc>
          <w:tcPr>
            <w:tcW w:w="2835" w:type="dxa"/>
            <w:shd w:val="clear" w:color="auto" w:fill="DDD0ED" w:themeFill="text1" w:themeFillTint="33"/>
          </w:tcPr>
          <w:p w14:paraId="1DF6ADF9" w14:textId="19D4C1D2" w:rsidR="00BF3775" w:rsidRPr="00AF7AEB" w:rsidRDefault="00DD5004"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D5004">
              <w:rPr>
                <w:rFonts w:ascii="Arial" w:hAnsi="Arial" w:cs="Arial"/>
                <w:sz w:val="20"/>
                <w:szCs w:val="20"/>
              </w:rPr>
              <w:t>The coasts and waterways are protected and healthier</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1B7CF0A4" w14:textId="56F995C6" w:rsidR="00BF3775" w:rsidRPr="00AF7AEB" w:rsidRDefault="00DD2538" w:rsidP="00DD2538">
            <w:pPr>
              <w:pStyle w:val="Default"/>
              <w:tabs>
                <w:tab w:val="left" w:pos="1200"/>
              </w:tabs>
              <w:rPr>
                <w:rFonts w:ascii="Arial" w:hAnsi="Arial" w:cs="Arial"/>
                <w:sz w:val="20"/>
                <w:szCs w:val="20"/>
              </w:rPr>
            </w:pPr>
            <w:r w:rsidRPr="00DD2538">
              <w:rPr>
                <w:rFonts w:ascii="Arial" w:hAnsi="Arial" w:cs="Arial"/>
                <w:sz w:val="20"/>
                <w:szCs w:val="20"/>
              </w:rPr>
              <w:t>The proposal will contribute to the remediation and revitalisation of the Georges River foreshore by improving foreshore vegetation and bank stabilisation.</w:t>
            </w:r>
          </w:p>
        </w:tc>
      </w:tr>
      <w:tr w:rsidR="00BF3775" w:rsidRPr="00AF7AEB" w14:paraId="3CB4BEA9"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5A240C5" w14:textId="1091EEF8"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2</w:t>
            </w:r>
            <w:r>
              <w:rPr>
                <w:rFonts w:ascii="Arial" w:hAnsi="Arial" w:cs="Arial"/>
                <w:sz w:val="20"/>
                <w:szCs w:val="20"/>
              </w:rPr>
              <w:t>7</w:t>
            </w:r>
          </w:p>
        </w:tc>
        <w:tc>
          <w:tcPr>
            <w:tcW w:w="2835" w:type="dxa"/>
            <w:shd w:val="clear" w:color="auto" w:fill="DDD0ED" w:themeFill="text1" w:themeFillTint="33"/>
          </w:tcPr>
          <w:p w14:paraId="1C9BA999" w14:textId="0489A1D6" w:rsidR="00BF3775" w:rsidRPr="00AF7AEB" w:rsidRDefault="00FA09E5" w:rsidP="00BF3775">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09E5">
              <w:rPr>
                <w:rFonts w:ascii="Arial" w:hAnsi="Arial" w:cs="Arial"/>
                <w:sz w:val="20"/>
                <w:szCs w:val="20"/>
              </w:rPr>
              <w:t>Biodiversity is protected, urban bushland and remnant vegetation is enhanced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2E14A1B7" w14:textId="77777777" w:rsidR="001F3493" w:rsidRDefault="001F3493" w:rsidP="001F3493">
            <w:pPr>
              <w:pStyle w:val="Default"/>
              <w:rPr>
                <w:rFonts w:ascii="Arial" w:hAnsi="Arial" w:cs="Arial"/>
                <w:sz w:val="20"/>
                <w:szCs w:val="20"/>
              </w:rPr>
            </w:pPr>
            <w:r w:rsidRPr="001F3493">
              <w:rPr>
                <w:rFonts w:ascii="Arial" w:hAnsi="Arial" w:cs="Arial"/>
                <w:sz w:val="20"/>
                <w:szCs w:val="20"/>
              </w:rPr>
              <w:t xml:space="preserve">The proposal will revitalise parts of the Georges River foreshore, facilitating new landscaping, vegetation and tree planting across the site. </w:t>
            </w:r>
          </w:p>
          <w:p w14:paraId="1FBA8159" w14:textId="2A80E66D" w:rsidR="001F3493" w:rsidRPr="001F3493" w:rsidRDefault="001F3493" w:rsidP="001F3493">
            <w:pPr>
              <w:pStyle w:val="Default"/>
              <w:rPr>
                <w:rFonts w:ascii="Arial" w:hAnsi="Arial" w:cs="Arial"/>
                <w:sz w:val="20"/>
                <w:szCs w:val="20"/>
              </w:rPr>
            </w:pPr>
            <w:r w:rsidRPr="001F3493">
              <w:rPr>
                <w:rFonts w:ascii="Arial" w:hAnsi="Arial" w:cs="Arial"/>
                <w:sz w:val="20"/>
                <w:szCs w:val="20"/>
              </w:rPr>
              <w:t xml:space="preserve"> </w:t>
            </w:r>
          </w:p>
          <w:p w14:paraId="1AC618DE" w14:textId="5100E5E8" w:rsidR="00BF3775" w:rsidRPr="00AF7AEB" w:rsidRDefault="001F3493" w:rsidP="001F3493">
            <w:pPr>
              <w:pStyle w:val="Default"/>
              <w:rPr>
                <w:rFonts w:ascii="Arial" w:hAnsi="Arial" w:cs="Arial"/>
                <w:sz w:val="20"/>
                <w:szCs w:val="20"/>
              </w:rPr>
            </w:pPr>
            <w:r w:rsidRPr="001F3493">
              <w:rPr>
                <w:rFonts w:ascii="Arial" w:hAnsi="Arial" w:cs="Arial"/>
                <w:sz w:val="20"/>
                <w:szCs w:val="20"/>
              </w:rPr>
              <w:t>The site in its current state and capacity under existing planning controls fails to incentivise or facilitate additional tree canopy or landscaping.</w:t>
            </w:r>
          </w:p>
        </w:tc>
      </w:tr>
      <w:tr w:rsidR="00BF3775" w:rsidRPr="00AF7AEB" w14:paraId="7C9B0E5A"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7D033434" w14:textId="33130853"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2</w:t>
            </w:r>
            <w:r>
              <w:rPr>
                <w:rFonts w:ascii="Arial" w:hAnsi="Arial" w:cs="Arial"/>
                <w:sz w:val="20"/>
                <w:szCs w:val="20"/>
              </w:rPr>
              <w:t>8</w:t>
            </w:r>
          </w:p>
        </w:tc>
        <w:tc>
          <w:tcPr>
            <w:tcW w:w="2835" w:type="dxa"/>
            <w:shd w:val="clear" w:color="auto" w:fill="DDD0ED" w:themeFill="text1" w:themeFillTint="33"/>
          </w:tcPr>
          <w:p w14:paraId="7EF6B4C9" w14:textId="1C4C55A4" w:rsidR="00BF3775" w:rsidRPr="00AF7AEB" w:rsidRDefault="00981455"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81455">
              <w:rPr>
                <w:rFonts w:ascii="Arial" w:hAnsi="Arial" w:cs="Arial"/>
                <w:sz w:val="20"/>
                <w:szCs w:val="20"/>
              </w:rPr>
              <w:t>Scenic and cultural landscapes are protected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98273A3" w14:textId="34B03684" w:rsidR="00BF3775" w:rsidRPr="00AF7AEB" w:rsidRDefault="00EA034B" w:rsidP="00EA034B">
            <w:pPr>
              <w:pStyle w:val="Default"/>
              <w:rPr>
                <w:rFonts w:ascii="Arial" w:hAnsi="Arial" w:cs="Arial"/>
                <w:sz w:val="20"/>
                <w:szCs w:val="20"/>
              </w:rPr>
            </w:pPr>
            <w:r w:rsidRPr="00EA034B">
              <w:rPr>
                <w:rFonts w:ascii="Arial" w:hAnsi="Arial" w:cs="Arial"/>
                <w:sz w:val="20"/>
                <w:szCs w:val="20"/>
              </w:rPr>
              <w:t>The proposal will ensure future residents and visitors will benefit from new views and vistas towards the Georges River foreshore.</w:t>
            </w:r>
          </w:p>
        </w:tc>
      </w:tr>
      <w:tr w:rsidR="00BF3775" w:rsidRPr="00AF7AEB" w14:paraId="4D629B62"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382803D" w14:textId="53CC868A"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2</w:t>
            </w:r>
            <w:r>
              <w:rPr>
                <w:rFonts w:ascii="Arial" w:hAnsi="Arial" w:cs="Arial"/>
                <w:sz w:val="20"/>
                <w:szCs w:val="20"/>
              </w:rPr>
              <w:t>9</w:t>
            </w:r>
          </w:p>
        </w:tc>
        <w:tc>
          <w:tcPr>
            <w:tcW w:w="2835" w:type="dxa"/>
            <w:shd w:val="clear" w:color="auto" w:fill="DDD0ED" w:themeFill="text1" w:themeFillTint="33"/>
          </w:tcPr>
          <w:p w14:paraId="207E9395" w14:textId="38D38E35" w:rsidR="00BF3775" w:rsidRPr="00AF7AEB" w:rsidRDefault="00F5071F" w:rsidP="00BF3775">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071F">
              <w:rPr>
                <w:rFonts w:ascii="Arial" w:hAnsi="Arial" w:cs="Arial"/>
                <w:sz w:val="20"/>
                <w:szCs w:val="20"/>
              </w:rPr>
              <w:t>Environmental, social and economic values in rural areas are protected and enhanced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32F0726D" w14:textId="0DD8E3E6" w:rsidR="00BF3775" w:rsidRPr="00AF7AEB" w:rsidRDefault="00793517" w:rsidP="00BF3775">
            <w:pPr>
              <w:pStyle w:val="Default"/>
              <w:rPr>
                <w:rFonts w:ascii="Arial" w:hAnsi="Arial" w:cs="Arial"/>
                <w:sz w:val="20"/>
                <w:szCs w:val="20"/>
              </w:rPr>
            </w:pPr>
            <w:r w:rsidRPr="00793517">
              <w:rPr>
                <w:rFonts w:ascii="Arial" w:hAnsi="Arial" w:cs="Arial"/>
                <w:sz w:val="20"/>
                <w:szCs w:val="20"/>
              </w:rPr>
              <w:t>The proposal will strengthen the environmental, social and economic values of the area by celebrating cultural heritage items on the site and surrounding environmental assets including Haigh Park, Lake Moore and the Georges River foreshore.</w:t>
            </w:r>
          </w:p>
        </w:tc>
      </w:tr>
      <w:tr w:rsidR="00BF3775" w:rsidRPr="00AF7AEB" w14:paraId="0CAB36EE"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43A849ED"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30</w:t>
            </w:r>
          </w:p>
        </w:tc>
        <w:tc>
          <w:tcPr>
            <w:tcW w:w="2835" w:type="dxa"/>
            <w:shd w:val="clear" w:color="auto" w:fill="DDD0ED" w:themeFill="text1" w:themeFillTint="33"/>
          </w:tcPr>
          <w:p w14:paraId="2A28EA0E" w14:textId="77777777" w:rsidR="00BF3775" w:rsidRPr="00AF7AEB" w:rsidRDefault="00BF3775"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Urban tree canopy cover is increased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EA7F692"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The site currently has no landscaping, accommodating a single storey building and hardstand for the entirety of the site. The Concept Plan submitted with the Planning Proposal demonstrates a significantly greater provision of landscaping and common and private open space opportunities.</w:t>
            </w:r>
          </w:p>
        </w:tc>
      </w:tr>
      <w:tr w:rsidR="00BF3775" w:rsidRPr="00AF7AEB" w14:paraId="5597805B"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1F66ED8E"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 xml:space="preserve">Objective 31 </w:t>
            </w:r>
          </w:p>
        </w:tc>
        <w:tc>
          <w:tcPr>
            <w:tcW w:w="2835" w:type="dxa"/>
            <w:shd w:val="clear" w:color="auto" w:fill="DDD0ED" w:themeFill="text1" w:themeFillTint="33"/>
          </w:tcPr>
          <w:p w14:paraId="4AB410B1" w14:textId="77777777" w:rsidR="00BF3775" w:rsidRPr="00AF7AEB" w:rsidRDefault="00BF3775" w:rsidP="00BF3775">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F7AEB">
              <w:rPr>
                <w:rFonts w:ascii="Arial" w:hAnsi="Arial" w:cs="Arial"/>
                <w:sz w:val="20"/>
                <w:szCs w:val="20"/>
              </w:rPr>
              <w:t>Public open space is accessible, protected and enhanced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8F1214D" w14:textId="6213EDD1" w:rsidR="00BF3775" w:rsidRPr="00AF7AEB" w:rsidRDefault="000431B1" w:rsidP="00BF3775">
            <w:pPr>
              <w:pStyle w:val="Default"/>
              <w:rPr>
                <w:rFonts w:ascii="Arial" w:hAnsi="Arial" w:cs="Arial"/>
                <w:sz w:val="20"/>
                <w:szCs w:val="20"/>
              </w:rPr>
            </w:pPr>
            <w:r w:rsidRPr="000431B1">
              <w:rPr>
                <w:rFonts w:ascii="Arial" w:hAnsi="Arial" w:cs="Arial"/>
                <w:sz w:val="20"/>
                <w:szCs w:val="20"/>
              </w:rPr>
              <w:t>The proposal seeks to create and embellish open space across the site and improving Sydney’s green grid connections to Liverpool CBD and the Georges River</w:t>
            </w:r>
          </w:p>
        </w:tc>
      </w:tr>
      <w:tr w:rsidR="00BF3775" w:rsidRPr="00AF7AEB" w14:paraId="60CC6EFB"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0F7106D2" w14:textId="13C2BE8B" w:rsidR="00BF3775" w:rsidRPr="00AF7AEB" w:rsidRDefault="00793517" w:rsidP="00BF3775">
            <w:pPr>
              <w:pStyle w:val="Default"/>
              <w:rPr>
                <w:rFonts w:ascii="Arial" w:hAnsi="Arial" w:cs="Arial"/>
                <w:sz w:val="20"/>
                <w:szCs w:val="20"/>
              </w:rPr>
            </w:pPr>
            <w:r w:rsidRPr="00AF7AEB">
              <w:rPr>
                <w:rFonts w:ascii="Arial" w:hAnsi="Arial" w:cs="Arial"/>
                <w:sz w:val="20"/>
                <w:szCs w:val="20"/>
              </w:rPr>
              <w:t>Objective 3</w:t>
            </w:r>
            <w:r w:rsidR="000431B1">
              <w:rPr>
                <w:rFonts w:ascii="Arial" w:hAnsi="Arial" w:cs="Arial"/>
                <w:sz w:val="20"/>
                <w:szCs w:val="20"/>
              </w:rPr>
              <w:t>2</w:t>
            </w:r>
          </w:p>
        </w:tc>
        <w:tc>
          <w:tcPr>
            <w:tcW w:w="2835" w:type="dxa"/>
            <w:shd w:val="clear" w:color="auto" w:fill="DDD0ED" w:themeFill="text1" w:themeFillTint="33"/>
          </w:tcPr>
          <w:p w14:paraId="7E1F54D1" w14:textId="61031872" w:rsidR="00BF3775" w:rsidRPr="00AF7AEB" w:rsidRDefault="00201F29"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F29">
              <w:rPr>
                <w:rFonts w:ascii="Arial" w:hAnsi="Arial" w:cs="Arial"/>
                <w:sz w:val="20"/>
                <w:szCs w:val="20"/>
              </w:rPr>
              <w:t>The Green Grid links parks, open spaces, bushland and walking and cycling paths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1305CE6A" w14:textId="281DCB87" w:rsidR="00BF3775" w:rsidRPr="00AF7AEB" w:rsidRDefault="00242E4F" w:rsidP="00BF3775">
            <w:pPr>
              <w:pStyle w:val="Default"/>
              <w:rPr>
                <w:rFonts w:ascii="Arial" w:hAnsi="Arial" w:cs="Arial"/>
                <w:sz w:val="20"/>
                <w:szCs w:val="20"/>
              </w:rPr>
            </w:pPr>
            <w:r w:rsidRPr="00242E4F">
              <w:rPr>
                <w:rFonts w:ascii="Arial" w:hAnsi="Arial" w:cs="Arial"/>
                <w:sz w:val="20"/>
                <w:szCs w:val="20"/>
              </w:rPr>
              <w:t xml:space="preserve">The proposal will deliver a green and blue grid, integrating the site with a series of bespoke landscape and open space areas supporting by pedestrian and cycling infrastructure. The </w:t>
            </w:r>
            <w:r w:rsidRPr="00242E4F">
              <w:rPr>
                <w:rFonts w:ascii="Arial" w:hAnsi="Arial" w:cs="Arial"/>
                <w:sz w:val="20"/>
                <w:szCs w:val="20"/>
              </w:rPr>
              <w:lastRenderedPageBreak/>
              <w:t>proposal facilitates public access to the riverfront and previously underutilised open space.</w:t>
            </w:r>
          </w:p>
        </w:tc>
      </w:tr>
      <w:tr w:rsidR="00BF3775" w:rsidRPr="00AF7AEB" w14:paraId="71254427"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302406CA"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lastRenderedPageBreak/>
              <w:t>AN EFFICIENT CITY</w:t>
            </w:r>
          </w:p>
        </w:tc>
      </w:tr>
      <w:tr w:rsidR="00BF3775" w:rsidRPr="00AF7AEB" w14:paraId="69BAE779"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3DB48507"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33</w:t>
            </w:r>
          </w:p>
        </w:tc>
        <w:tc>
          <w:tcPr>
            <w:tcW w:w="2835" w:type="dxa"/>
            <w:shd w:val="clear" w:color="auto" w:fill="DDD0ED" w:themeFill="text1" w:themeFillTint="33"/>
          </w:tcPr>
          <w:p w14:paraId="516036EF" w14:textId="77777777" w:rsidR="00BF3775" w:rsidRPr="00AF7AEB" w:rsidRDefault="00BF3775"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A low-carbon city contributes to net-zero emissions by 2050 and mitigates climate change</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73283D0C" w14:textId="64DFBF66" w:rsidR="00BF3775" w:rsidRPr="00AF7AEB" w:rsidRDefault="0079725E" w:rsidP="00BF3775">
            <w:pPr>
              <w:pStyle w:val="Default"/>
              <w:rPr>
                <w:rFonts w:ascii="Arial" w:hAnsi="Arial" w:cs="Arial"/>
                <w:sz w:val="20"/>
                <w:szCs w:val="20"/>
              </w:rPr>
            </w:pPr>
            <w:r w:rsidRPr="0079725E">
              <w:rPr>
                <w:rFonts w:ascii="Arial" w:hAnsi="Arial" w:cs="Arial"/>
                <w:sz w:val="20"/>
                <w:szCs w:val="20"/>
              </w:rPr>
              <w:t>The proposal will contribute to a more sustainable and resilient city through remediation of the Georges River and the utilisation of ESD principles in future development.</w:t>
            </w:r>
            <w:r w:rsidR="00691175">
              <w:rPr>
                <w:rFonts w:ascii="Arial" w:hAnsi="Arial" w:cs="Arial"/>
                <w:sz w:val="20"/>
                <w:szCs w:val="20"/>
              </w:rPr>
              <w:t xml:space="preserve"> </w:t>
            </w:r>
            <w:r w:rsidR="00691175" w:rsidRPr="00691175">
              <w:rPr>
                <w:rFonts w:ascii="Arial" w:hAnsi="Arial" w:cs="Arial"/>
                <w:sz w:val="20"/>
                <w:szCs w:val="20"/>
              </w:rPr>
              <w:t>A Placemaking Working Group has been established between Council and the proponents to explore placemaking and sustainability opportunities post-Gateway.</w:t>
            </w:r>
          </w:p>
        </w:tc>
      </w:tr>
      <w:tr w:rsidR="006B24BE" w:rsidRPr="00AF7AEB" w14:paraId="450923A9"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F3B10BF" w14:textId="1314AFC1" w:rsidR="006B24BE" w:rsidRPr="00AF7AEB" w:rsidRDefault="006B24BE" w:rsidP="00BF3775">
            <w:pPr>
              <w:pStyle w:val="Default"/>
              <w:rPr>
                <w:rFonts w:ascii="Arial" w:hAnsi="Arial" w:cs="Arial"/>
                <w:sz w:val="20"/>
                <w:szCs w:val="20"/>
              </w:rPr>
            </w:pPr>
            <w:r w:rsidRPr="00AF7AEB">
              <w:rPr>
                <w:rFonts w:ascii="Arial" w:hAnsi="Arial" w:cs="Arial"/>
                <w:sz w:val="20"/>
                <w:szCs w:val="20"/>
              </w:rPr>
              <w:t>Objective 3</w:t>
            </w:r>
            <w:r>
              <w:rPr>
                <w:rFonts w:ascii="Arial" w:hAnsi="Arial" w:cs="Arial"/>
                <w:sz w:val="20"/>
                <w:szCs w:val="20"/>
              </w:rPr>
              <w:t>4</w:t>
            </w:r>
          </w:p>
        </w:tc>
        <w:tc>
          <w:tcPr>
            <w:tcW w:w="2835" w:type="dxa"/>
            <w:shd w:val="clear" w:color="auto" w:fill="DDD0ED" w:themeFill="text1" w:themeFillTint="33"/>
          </w:tcPr>
          <w:p w14:paraId="47FE4FD2" w14:textId="0D5E0C0A" w:rsidR="006B24BE" w:rsidRPr="00AF7AEB" w:rsidRDefault="00C47D0E" w:rsidP="00BF3775">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D0E">
              <w:rPr>
                <w:rFonts w:ascii="Arial" w:hAnsi="Arial" w:cs="Arial"/>
                <w:sz w:val="20"/>
                <w:szCs w:val="20"/>
              </w:rPr>
              <w:t>Energy and water flows are captured, used and re-used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3134F2AE" w14:textId="3B142D79" w:rsidR="00533A28" w:rsidRDefault="00533A28" w:rsidP="00533A28">
            <w:pPr>
              <w:pStyle w:val="Default"/>
              <w:rPr>
                <w:rFonts w:ascii="Arial" w:hAnsi="Arial" w:cs="Arial"/>
                <w:sz w:val="20"/>
                <w:szCs w:val="20"/>
              </w:rPr>
            </w:pPr>
            <w:r w:rsidRPr="00533A28">
              <w:rPr>
                <w:rFonts w:ascii="Arial" w:hAnsi="Arial" w:cs="Arial"/>
                <w:sz w:val="20"/>
                <w:szCs w:val="20"/>
              </w:rPr>
              <w:t xml:space="preserve">The proposal will provide uses that will enable WSUD and ensure water is appropriately drained across the site. </w:t>
            </w:r>
          </w:p>
          <w:p w14:paraId="102154A6" w14:textId="77777777" w:rsidR="00533A28" w:rsidRPr="00533A28" w:rsidRDefault="00533A28" w:rsidP="00533A28">
            <w:pPr>
              <w:pStyle w:val="Default"/>
              <w:rPr>
                <w:rFonts w:ascii="Arial" w:hAnsi="Arial" w:cs="Arial"/>
                <w:sz w:val="20"/>
                <w:szCs w:val="20"/>
              </w:rPr>
            </w:pPr>
          </w:p>
          <w:p w14:paraId="71FC984D" w14:textId="77777777" w:rsidR="006B24BE" w:rsidRDefault="00533A28" w:rsidP="00533A28">
            <w:pPr>
              <w:pStyle w:val="Default"/>
              <w:rPr>
                <w:rFonts w:ascii="Arial" w:hAnsi="Arial" w:cs="Arial"/>
                <w:sz w:val="20"/>
                <w:szCs w:val="20"/>
              </w:rPr>
            </w:pPr>
            <w:r>
              <w:rPr>
                <w:rFonts w:ascii="Arial" w:hAnsi="Arial" w:cs="Arial"/>
                <w:sz w:val="20"/>
                <w:szCs w:val="20"/>
              </w:rPr>
              <w:t xml:space="preserve">A </w:t>
            </w:r>
            <w:r w:rsidRPr="00533A28">
              <w:rPr>
                <w:rFonts w:ascii="Arial" w:hAnsi="Arial" w:cs="Arial"/>
                <w:sz w:val="20"/>
                <w:szCs w:val="20"/>
              </w:rPr>
              <w:t>Placemaking Working Group</w:t>
            </w:r>
            <w:r>
              <w:rPr>
                <w:rFonts w:ascii="Arial" w:hAnsi="Arial" w:cs="Arial"/>
                <w:sz w:val="20"/>
                <w:szCs w:val="20"/>
              </w:rPr>
              <w:t xml:space="preserve"> will</w:t>
            </w:r>
            <w:r w:rsidRPr="00533A28">
              <w:rPr>
                <w:rFonts w:ascii="Arial" w:hAnsi="Arial" w:cs="Arial"/>
                <w:sz w:val="20"/>
                <w:szCs w:val="20"/>
              </w:rPr>
              <w:t xml:space="preserve"> drive sustainability governance for the site (actions 30-35). The Group will have representation from Council, the project team</w:t>
            </w:r>
            <w:r>
              <w:rPr>
                <w:rFonts w:ascii="Arial" w:hAnsi="Arial" w:cs="Arial"/>
                <w:sz w:val="20"/>
                <w:szCs w:val="20"/>
              </w:rPr>
              <w:t xml:space="preserve"> and relevant State agencies.</w:t>
            </w:r>
          </w:p>
          <w:p w14:paraId="7A61318A" w14:textId="77777777" w:rsidR="00953ABE" w:rsidRDefault="00953ABE" w:rsidP="00533A28">
            <w:pPr>
              <w:pStyle w:val="Default"/>
              <w:rPr>
                <w:rFonts w:ascii="Arial" w:hAnsi="Arial" w:cs="Arial"/>
                <w:sz w:val="20"/>
                <w:szCs w:val="20"/>
              </w:rPr>
            </w:pPr>
          </w:p>
          <w:p w14:paraId="0248FC71" w14:textId="034BDA26" w:rsidR="00953ABE" w:rsidRPr="00AF7AEB" w:rsidRDefault="00953ABE" w:rsidP="00533A28">
            <w:pPr>
              <w:pStyle w:val="Default"/>
              <w:rPr>
                <w:rFonts w:ascii="Arial" w:hAnsi="Arial" w:cs="Arial"/>
                <w:sz w:val="20"/>
                <w:szCs w:val="20"/>
              </w:rPr>
            </w:pPr>
            <w:r w:rsidRPr="00953ABE">
              <w:rPr>
                <w:rFonts w:ascii="Arial" w:hAnsi="Arial" w:cs="Arial"/>
                <w:sz w:val="20"/>
                <w:szCs w:val="20"/>
              </w:rPr>
              <w:t>It is the intention for development to incorporate water sensitive urban design through a site-specific DCP. Ongoing consultation with Sydney Water to investigate recycled water provision on-site has also been encouraged.</w:t>
            </w:r>
          </w:p>
        </w:tc>
      </w:tr>
      <w:tr w:rsidR="006B24BE" w:rsidRPr="00AF7AEB" w14:paraId="0A4DF1E9"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68429BD7" w14:textId="2A11BE18" w:rsidR="006B24BE" w:rsidRPr="00AF7AEB" w:rsidRDefault="006B24BE" w:rsidP="00BF3775">
            <w:pPr>
              <w:pStyle w:val="Default"/>
              <w:rPr>
                <w:rFonts w:ascii="Arial" w:hAnsi="Arial" w:cs="Arial"/>
                <w:sz w:val="20"/>
                <w:szCs w:val="20"/>
              </w:rPr>
            </w:pPr>
            <w:r w:rsidRPr="00AF7AEB">
              <w:rPr>
                <w:rFonts w:ascii="Arial" w:hAnsi="Arial" w:cs="Arial"/>
                <w:sz w:val="20"/>
                <w:szCs w:val="20"/>
              </w:rPr>
              <w:t>Objective 3</w:t>
            </w:r>
            <w:r>
              <w:rPr>
                <w:rFonts w:ascii="Arial" w:hAnsi="Arial" w:cs="Arial"/>
                <w:sz w:val="20"/>
                <w:szCs w:val="20"/>
              </w:rPr>
              <w:t>5</w:t>
            </w:r>
          </w:p>
        </w:tc>
        <w:tc>
          <w:tcPr>
            <w:tcW w:w="2835" w:type="dxa"/>
            <w:shd w:val="clear" w:color="auto" w:fill="DDD0ED" w:themeFill="text1" w:themeFillTint="33"/>
          </w:tcPr>
          <w:p w14:paraId="5E6174CD" w14:textId="712CD2B6" w:rsidR="006B24BE" w:rsidRPr="00AF7AEB" w:rsidRDefault="00345B68"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45B68">
              <w:rPr>
                <w:rFonts w:ascii="Arial" w:hAnsi="Arial" w:cs="Arial"/>
                <w:sz w:val="20"/>
                <w:szCs w:val="20"/>
              </w:rPr>
              <w:t>More waste is re-used and recycled to support the development of a circular economy</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BCAB350" w14:textId="549D778E" w:rsidR="006B24BE" w:rsidRPr="00AF7AEB" w:rsidRDefault="003A2173" w:rsidP="00BF3775">
            <w:pPr>
              <w:pStyle w:val="Default"/>
              <w:rPr>
                <w:rFonts w:ascii="Arial" w:hAnsi="Arial" w:cs="Arial"/>
                <w:sz w:val="20"/>
                <w:szCs w:val="20"/>
              </w:rPr>
            </w:pPr>
            <w:r w:rsidRPr="003A2173">
              <w:rPr>
                <w:rFonts w:ascii="Arial" w:hAnsi="Arial" w:cs="Arial"/>
                <w:sz w:val="20"/>
                <w:szCs w:val="20"/>
              </w:rPr>
              <w:t>The proposal will facilitate a mix of land uses that can utilise recycled water for landscaping and WSUD.</w:t>
            </w:r>
          </w:p>
        </w:tc>
      </w:tr>
      <w:tr w:rsidR="00BF3775" w:rsidRPr="00AF7AEB" w14:paraId="6BA7C75C"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9209" w:type="dxa"/>
            <w:gridSpan w:val="3"/>
            <w:shd w:val="clear" w:color="auto" w:fill="BCA2DC" w:themeFill="text1" w:themeFillTint="66"/>
          </w:tcPr>
          <w:p w14:paraId="424EFF5F"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A RESILIENT CITY</w:t>
            </w:r>
          </w:p>
        </w:tc>
      </w:tr>
      <w:tr w:rsidR="003A2173" w:rsidRPr="00AF7AEB" w14:paraId="4750867C"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309490AA" w14:textId="3F6EB6D0" w:rsidR="003A2173" w:rsidRPr="00AF7AEB" w:rsidRDefault="003A2173" w:rsidP="00BF3775">
            <w:pPr>
              <w:pStyle w:val="Default"/>
              <w:rPr>
                <w:rFonts w:ascii="Arial" w:hAnsi="Arial" w:cs="Arial"/>
                <w:sz w:val="20"/>
                <w:szCs w:val="20"/>
              </w:rPr>
            </w:pPr>
            <w:r w:rsidRPr="00AF7AEB">
              <w:rPr>
                <w:rFonts w:ascii="Arial" w:hAnsi="Arial" w:cs="Arial"/>
                <w:sz w:val="20"/>
                <w:szCs w:val="20"/>
              </w:rPr>
              <w:t>Objective 3</w:t>
            </w:r>
            <w:r>
              <w:rPr>
                <w:rFonts w:ascii="Arial" w:hAnsi="Arial" w:cs="Arial"/>
                <w:sz w:val="20"/>
                <w:szCs w:val="20"/>
              </w:rPr>
              <w:t>6</w:t>
            </w:r>
          </w:p>
        </w:tc>
        <w:tc>
          <w:tcPr>
            <w:tcW w:w="2835" w:type="dxa"/>
            <w:shd w:val="clear" w:color="auto" w:fill="DDD0ED" w:themeFill="text1" w:themeFillTint="33"/>
          </w:tcPr>
          <w:p w14:paraId="4E7E9BBB" w14:textId="009F08FD" w:rsidR="003A2173" w:rsidRPr="00AF7AEB" w:rsidRDefault="002A2ECA"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A2ECA">
              <w:rPr>
                <w:rFonts w:ascii="Arial" w:hAnsi="Arial" w:cs="Arial"/>
                <w:sz w:val="20"/>
                <w:szCs w:val="20"/>
              </w:rPr>
              <w:t>People and places adapt to climate change and future shocks and stresses</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6A2923D5" w14:textId="089E8357" w:rsidR="003A2173" w:rsidRPr="00AF7AEB" w:rsidRDefault="00390128" w:rsidP="00390128">
            <w:pPr>
              <w:pStyle w:val="Default"/>
              <w:rPr>
                <w:rFonts w:ascii="Arial" w:hAnsi="Arial" w:cs="Arial"/>
                <w:sz w:val="20"/>
                <w:szCs w:val="20"/>
              </w:rPr>
            </w:pPr>
            <w:r w:rsidRPr="00390128">
              <w:rPr>
                <w:rFonts w:ascii="Arial" w:hAnsi="Arial" w:cs="Arial"/>
                <w:sz w:val="20"/>
                <w:szCs w:val="20"/>
              </w:rPr>
              <w:t>The proposal will deliver a resilient waterfront that is able to respond to the varying shocks and stresses of the Georges River.</w:t>
            </w:r>
            <w:r w:rsidR="00953ABE">
              <w:rPr>
                <w:rFonts w:ascii="Arial" w:hAnsi="Arial" w:cs="Arial"/>
                <w:sz w:val="20"/>
                <w:szCs w:val="20"/>
              </w:rPr>
              <w:t xml:space="preserve"> </w:t>
            </w:r>
            <w:r w:rsidRPr="00390128">
              <w:rPr>
                <w:rFonts w:ascii="Arial" w:hAnsi="Arial" w:cs="Arial"/>
                <w:sz w:val="20"/>
                <w:szCs w:val="20"/>
              </w:rPr>
              <w:t>The proposal aligns with the foreshore building line in accordance with the LEP.</w:t>
            </w:r>
          </w:p>
        </w:tc>
      </w:tr>
      <w:tr w:rsidR="003A2173" w:rsidRPr="00AF7AEB" w14:paraId="184B2B15" w14:textId="77777777" w:rsidTr="00D72C67">
        <w:trPr>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50A3266A" w14:textId="4F275CB7" w:rsidR="003A2173" w:rsidRPr="00AF7AEB" w:rsidRDefault="00390128" w:rsidP="00BF3775">
            <w:pPr>
              <w:pStyle w:val="Default"/>
              <w:rPr>
                <w:rFonts w:ascii="Arial" w:hAnsi="Arial" w:cs="Arial"/>
                <w:sz w:val="20"/>
                <w:szCs w:val="20"/>
              </w:rPr>
            </w:pPr>
            <w:r w:rsidRPr="00AF7AEB">
              <w:rPr>
                <w:rFonts w:ascii="Arial" w:hAnsi="Arial" w:cs="Arial"/>
                <w:sz w:val="20"/>
                <w:szCs w:val="20"/>
              </w:rPr>
              <w:t>Objective 3</w:t>
            </w:r>
            <w:r>
              <w:rPr>
                <w:rFonts w:ascii="Arial" w:hAnsi="Arial" w:cs="Arial"/>
                <w:sz w:val="20"/>
                <w:szCs w:val="20"/>
              </w:rPr>
              <w:t>7</w:t>
            </w:r>
          </w:p>
        </w:tc>
        <w:tc>
          <w:tcPr>
            <w:tcW w:w="2835" w:type="dxa"/>
            <w:shd w:val="clear" w:color="auto" w:fill="DDD0ED" w:themeFill="text1" w:themeFillTint="33"/>
          </w:tcPr>
          <w:p w14:paraId="1E058554" w14:textId="4B2E6795" w:rsidR="003A2173" w:rsidRPr="00AF7AEB" w:rsidRDefault="00FF0E29" w:rsidP="00FF0E29">
            <w:pPr>
              <w:pStyle w:val="Defaul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0E29">
              <w:rPr>
                <w:rFonts w:ascii="Arial" w:hAnsi="Arial" w:cs="Arial"/>
                <w:sz w:val="20"/>
                <w:szCs w:val="20"/>
              </w:rPr>
              <w:t>Exposure to natural and urban hazards is reduced</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4D8B2AB" w14:textId="5B4795BC" w:rsidR="003A2173" w:rsidRPr="00AF7AEB" w:rsidRDefault="001557AF" w:rsidP="00BF3775">
            <w:pPr>
              <w:pStyle w:val="Default"/>
              <w:rPr>
                <w:rFonts w:ascii="Arial" w:hAnsi="Arial" w:cs="Arial"/>
                <w:sz w:val="20"/>
                <w:szCs w:val="20"/>
              </w:rPr>
            </w:pPr>
            <w:r w:rsidRPr="001557AF">
              <w:rPr>
                <w:rFonts w:ascii="Arial" w:hAnsi="Arial" w:cs="Arial"/>
                <w:sz w:val="20"/>
                <w:szCs w:val="20"/>
              </w:rPr>
              <w:t xml:space="preserve">The site currently sits within the flood planning area, with much of the site subject to 1-in-100-year flood events. The </w:t>
            </w:r>
            <w:r>
              <w:rPr>
                <w:rFonts w:ascii="Arial" w:hAnsi="Arial" w:cs="Arial"/>
                <w:sz w:val="20"/>
                <w:szCs w:val="20"/>
              </w:rPr>
              <w:t>land owners</w:t>
            </w:r>
            <w:r w:rsidRPr="001557AF">
              <w:rPr>
                <w:rFonts w:ascii="Arial" w:hAnsi="Arial" w:cs="Arial"/>
                <w:sz w:val="20"/>
                <w:szCs w:val="20"/>
              </w:rPr>
              <w:t xml:space="preserve"> ha</w:t>
            </w:r>
            <w:r>
              <w:rPr>
                <w:rFonts w:ascii="Arial" w:hAnsi="Arial" w:cs="Arial"/>
                <w:sz w:val="20"/>
                <w:szCs w:val="20"/>
              </w:rPr>
              <w:t>ve</w:t>
            </w:r>
            <w:r w:rsidRPr="001557AF">
              <w:rPr>
                <w:rFonts w:ascii="Arial" w:hAnsi="Arial" w:cs="Arial"/>
                <w:sz w:val="20"/>
                <w:szCs w:val="20"/>
              </w:rPr>
              <w:t xml:space="preserve"> advised that there is likely to be an engineering solution to make the development site suitable for residential development with off-site flood mitigation works, however further investigations needs</w:t>
            </w:r>
            <w:r>
              <w:rPr>
                <w:rFonts w:ascii="Arial" w:hAnsi="Arial" w:cs="Arial"/>
                <w:sz w:val="20"/>
                <w:szCs w:val="20"/>
              </w:rPr>
              <w:t xml:space="preserve"> </w:t>
            </w:r>
            <w:r w:rsidRPr="001557AF">
              <w:rPr>
                <w:rFonts w:ascii="Arial" w:hAnsi="Arial" w:cs="Arial"/>
                <w:sz w:val="20"/>
                <w:szCs w:val="20"/>
              </w:rPr>
              <w:t>to be conducted post-Gateway to ensure this is a workable and acceptable solution to Council.</w:t>
            </w:r>
          </w:p>
        </w:tc>
      </w:tr>
      <w:tr w:rsidR="00BF3775" w:rsidRPr="00AF7AEB" w14:paraId="0DD99312" w14:textId="77777777" w:rsidTr="00D72C67">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696" w:type="dxa"/>
            <w:shd w:val="clear" w:color="auto" w:fill="DDD0ED" w:themeFill="text1" w:themeFillTint="33"/>
          </w:tcPr>
          <w:p w14:paraId="1E980B30" w14:textId="77777777" w:rsidR="00BF3775" w:rsidRPr="00AF7AEB" w:rsidRDefault="00BF3775" w:rsidP="00BF3775">
            <w:pPr>
              <w:pStyle w:val="Default"/>
              <w:rPr>
                <w:rFonts w:ascii="Arial" w:hAnsi="Arial" w:cs="Arial"/>
                <w:sz w:val="20"/>
                <w:szCs w:val="20"/>
              </w:rPr>
            </w:pPr>
            <w:r w:rsidRPr="00AF7AEB">
              <w:rPr>
                <w:rFonts w:ascii="Arial" w:hAnsi="Arial" w:cs="Arial"/>
                <w:sz w:val="20"/>
                <w:szCs w:val="20"/>
              </w:rPr>
              <w:t>Objective 38</w:t>
            </w:r>
          </w:p>
        </w:tc>
        <w:tc>
          <w:tcPr>
            <w:tcW w:w="2835" w:type="dxa"/>
            <w:shd w:val="clear" w:color="auto" w:fill="DDD0ED" w:themeFill="text1" w:themeFillTint="33"/>
          </w:tcPr>
          <w:p w14:paraId="49F1E02B" w14:textId="77777777" w:rsidR="00BF3775" w:rsidRPr="00AF7AEB" w:rsidRDefault="00BF3775" w:rsidP="00BF377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F7AEB">
              <w:rPr>
                <w:rFonts w:ascii="Arial" w:hAnsi="Arial" w:cs="Arial"/>
                <w:sz w:val="20"/>
                <w:szCs w:val="20"/>
              </w:rPr>
              <w:t xml:space="preserve">Heatwaves and extreme heat are managed </w:t>
            </w:r>
          </w:p>
        </w:tc>
        <w:tc>
          <w:tcPr>
            <w:cnfStyle w:val="000010000000" w:firstRow="0" w:lastRow="0" w:firstColumn="0" w:lastColumn="0" w:oddVBand="1" w:evenVBand="0" w:oddHBand="0" w:evenHBand="0" w:firstRowFirstColumn="0" w:firstRowLastColumn="0" w:lastRowFirstColumn="0" w:lastRowLastColumn="0"/>
            <w:tcW w:w="4678" w:type="dxa"/>
            <w:shd w:val="clear" w:color="auto" w:fill="DDD0ED" w:themeFill="text1" w:themeFillTint="33"/>
          </w:tcPr>
          <w:p w14:paraId="5F31A025" w14:textId="03185E8B" w:rsidR="00BF3775" w:rsidRPr="00AF7AEB" w:rsidRDefault="00CC3CBA" w:rsidP="00BF3775">
            <w:pPr>
              <w:pStyle w:val="Default"/>
              <w:rPr>
                <w:rFonts w:ascii="Arial" w:hAnsi="Arial" w:cs="Arial"/>
                <w:sz w:val="20"/>
                <w:szCs w:val="20"/>
              </w:rPr>
            </w:pPr>
            <w:r w:rsidRPr="00CC3CBA">
              <w:rPr>
                <w:rFonts w:ascii="Arial" w:hAnsi="Arial" w:cs="Arial"/>
                <w:sz w:val="20"/>
                <w:szCs w:val="20"/>
              </w:rPr>
              <w:t xml:space="preserve">The proposal will deliver additional landscaping and tree plantings on the site and along the riparian waterfront, improving the overall urban cooling of the site.  </w:t>
            </w:r>
          </w:p>
        </w:tc>
      </w:tr>
    </w:tbl>
    <w:p w14:paraId="68587649" w14:textId="61CCAE71" w:rsidR="00AF7AEB" w:rsidRDefault="00AF7AEB" w:rsidP="00AF7AEB">
      <w:pPr>
        <w:rPr>
          <w:rFonts w:ascii="Arial" w:hAnsi="Arial" w:cs="Arial"/>
          <w:sz w:val="20"/>
          <w:szCs w:val="20"/>
        </w:rPr>
      </w:pPr>
    </w:p>
    <w:p w14:paraId="044D1C7E" w14:textId="7FC2CEDC" w:rsidR="000933CA" w:rsidRPr="000933CA" w:rsidRDefault="000933CA" w:rsidP="00AF7AEB">
      <w:pPr>
        <w:rPr>
          <w:rFonts w:ascii="Arial" w:hAnsi="Arial" w:cs="Arial"/>
          <w:sz w:val="20"/>
          <w:szCs w:val="20"/>
          <w:u w:val="single"/>
        </w:rPr>
      </w:pPr>
      <w:r w:rsidRPr="000933CA">
        <w:rPr>
          <w:rFonts w:ascii="Arial" w:hAnsi="Arial" w:cs="Arial"/>
          <w:sz w:val="20"/>
          <w:szCs w:val="20"/>
          <w:u w:val="single"/>
        </w:rPr>
        <w:t>Western City District Plan</w:t>
      </w:r>
    </w:p>
    <w:p w14:paraId="42681353" w14:textId="77777777" w:rsidR="00B45D28" w:rsidRPr="00B45D28" w:rsidRDefault="00B45D28" w:rsidP="00B45D28">
      <w:pPr>
        <w:rPr>
          <w:rFonts w:ascii="Arial" w:hAnsi="Arial" w:cs="Arial"/>
          <w:sz w:val="20"/>
          <w:szCs w:val="20"/>
        </w:rPr>
      </w:pPr>
      <w:r w:rsidRPr="00B45D28">
        <w:rPr>
          <w:rFonts w:ascii="Arial" w:hAnsi="Arial" w:cs="Arial"/>
          <w:sz w:val="20"/>
          <w:szCs w:val="20"/>
        </w:rPr>
        <w:t xml:space="preserve">The subject site is located within the Liverpool City Centre, which forms a part of the Western City District. The Western City District Plan (the District Plan) sets out planning priorities and actions for improving the quality of life for residents as the district grows and changes. The District Plan provides a 20-year strategy </w:t>
      </w:r>
      <w:r w:rsidRPr="00B45D28">
        <w:rPr>
          <w:rFonts w:ascii="Arial" w:hAnsi="Arial" w:cs="Arial"/>
          <w:sz w:val="20"/>
          <w:szCs w:val="20"/>
        </w:rPr>
        <w:lastRenderedPageBreak/>
        <w:t>to manage growth in the context of economic, social and environmental matters. It is a guide for implementing the Greater Sydney Region Plan, at a district level.</w:t>
      </w:r>
    </w:p>
    <w:p w14:paraId="6FFBB5F5" w14:textId="7DCAC33C" w:rsidR="000933CA" w:rsidRDefault="00B45D28" w:rsidP="00AF7AEB">
      <w:pPr>
        <w:rPr>
          <w:rFonts w:ascii="Arial" w:hAnsi="Arial" w:cs="Arial"/>
          <w:sz w:val="20"/>
          <w:szCs w:val="20"/>
        </w:rPr>
      </w:pPr>
      <w:r w:rsidRPr="00B45D28">
        <w:rPr>
          <w:rFonts w:ascii="Arial" w:hAnsi="Arial" w:cs="Arial"/>
          <w:sz w:val="20"/>
          <w:szCs w:val="20"/>
        </w:rPr>
        <w:t>The District Plan establishes 22 Planning Priorities, which shape the vision for the future of the Western City District. The Planning Proposal is consistent with the relevant planning priorities and actions of the District Plan.</w:t>
      </w:r>
      <w:r w:rsidR="007C6CEB">
        <w:rPr>
          <w:rFonts w:ascii="Arial" w:hAnsi="Arial" w:cs="Arial"/>
          <w:sz w:val="20"/>
          <w:szCs w:val="20"/>
        </w:rPr>
        <w:t xml:space="preserve"> The following table provides a summary of the Planning Proposal’s consistency with the District Plan</w:t>
      </w:r>
      <w:r w:rsidR="0045630D">
        <w:rPr>
          <w:rFonts w:ascii="Arial" w:hAnsi="Arial" w:cs="Arial"/>
          <w:sz w:val="20"/>
          <w:szCs w:val="20"/>
        </w:rPr>
        <w:t>, including actions for Collaboration Areas and Liverpool.</w:t>
      </w:r>
    </w:p>
    <w:p w14:paraId="65187FAA" w14:textId="77127E04" w:rsidR="000933CA" w:rsidRDefault="000933CA" w:rsidP="000933CA">
      <w:pPr>
        <w:pStyle w:val="Caption"/>
        <w:keepNext/>
      </w:pPr>
      <w:bookmarkStart w:id="25" w:name="_Toc46145526"/>
      <w:r>
        <w:t xml:space="preserve">Table </w:t>
      </w:r>
      <w:r w:rsidR="00E972AF">
        <w:t>3</w:t>
      </w:r>
      <w:r>
        <w:t xml:space="preserve">: Strategic Plan Merit Test – </w:t>
      </w:r>
      <w:r w:rsidR="00DA2413">
        <w:t>Western City District</w:t>
      </w:r>
      <w:r>
        <w:t xml:space="preserve"> Plan</w:t>
      </w:r>
      <w:bookmarkEnd w:id="25"/>
    </w:p>
    <w:tbl>
      <w:tblPr>
        <w:tblStyle w:val="TableGrid"/>
        <w:tblW w:w="9491" w:type="dxa"/>
        <w:tblInd w:w="-147" w:type="dxa"/>
        <w:tblLook w:val="04A0" w:firstRow="1" w:lastRow="0" w:firstColumn="1" w:lastColumn="0" w:noHBand="0" w:noVBand="1"/>
      </w:tblPr>
      <w:tblGrid>
        <w:gridCol w:w="2410"/>
        <w:gridCol w:w="7081"/>
      </w:tblGrid>
      <w:tr w:rsidR="00C61E27" w:rsidRPr="00354385" w14:paraId="4019F7DA" w14:textId="77777777" w:rsidTr="00B76734">
        <w:tc>
          <w:tcPr>
            <w:tcW w:w="2410" w:type="dxa"/>
            <w:shd w:val="clear" w:color="auto" w:fill="7030A0"/>
          </w:tcPr>
          <w:p w14:paraId="74E0C58F" w14:textId="77777777" w:rsidR="00C61E27" w:rsidRPr="00354385" w:rsidRDefault="00C61E27" w:rsidP="003652C9">
            <w:pPr>
              <w:autoSpaceDE w:val="0"/>
              <w:autoSpaceDN w:val="0"/>
              <w:adjustRightInd w:val="0"/>
              <w:rPr>
                <w:rFonts w:ascii="ArialMT" w:hAnsi="ArialMT" w:cs="ArialMT"/>
                <w:b/>
                <w:bCs/>
              </w:rPr>
            </w:pPr>
            <w:r>
              <w:rPr>
                <w:rFonts w:ascii="ArialMT" w:hAnsi="ArialMT" w:cs="ArialMT"/>
                <w:b/>
                <w:bCs/>
              </w:rPr>
              <w:t>Planning Priority</w:t>
            </w:r>
          </w:p>
        </w:tc>
        <w:tc>
          <w:tcPr>
            <w:tcW w:w="7081" w:type="dxa"/>
            <w:shd w:val="clear" w:color="auto" w:fill="7030A0"/>
          </w:tcPr>
          <w:p w14:paraId="6E07E646" w14:textId="77777777" w:rsidR="00C61E27" w:rsidRPr="00354385" w:rsidRDefault="00C61E27" w:rsidP="003652C9">
            <w:pPr>
              <w:autoSpaceDE w:val="0"/>
              <w:autoSpaceDN w:val="0"/>
              <w:adjustRightInd w:val="0"/>
              <w:rPr>
                <w:rFonts w:ascii="ArialMT" w:hAnsi="ArialMT" w:cs="ArialMT"/>
                <w:b/>
                <w:bCs/>
              </w:rPr>
            </w:pPr>
            <w:r w:rsidRPr="00354385">
              <w:rPr>
                <w:rFonts w:ascii="ArialMT" w:hAnsi="ArialMT" w:cs="ArialMT"/>
                <w:b/>
                <w:bCs/>
              </w:rPr>
              <w:t>Comment</w:t>
            </w:r>
          </w:p>
        </w:tc>
      </w:tr>
      <w:tr w:rsidR="00C61E27" w14:paraId="25DFBA20" w14:textId="77777777" w:rsidTr="00B76734">
        <w:tc>
          <w:tcPr>
            <w:tcW w:w="2410" w:type="dxa"/>
            <w:shd w:val="clear" w:color="auto" w:fill="DDD0ED" w:themeFill="text1" w:themeFillTint="33"/>
          </w:tcPr>
          <w:p w14:paraId="3F4639BE" w14:textId="77777777" w:rsidR="00C61E27" w:rsidRPr="00B76734" w:rsidRDefault="00C61E27" w:rsidP="00B76734">
            <w:pPr>
              <w:pStyle w:val="Table-Text"/>
              <w:rPr>
                <w:rFonts w:ascii="Arial" w:hAnsi="Arial" w:cs="Arial"/>
                <w:szCs w:val="20"/>
              </w:rPr>
            </w:pPr>
            <w:r w:rsidRPr="00B76734">
              <w:rPr>
                <w:rFonts w:ascii="Arial" w:hAnsi="Arial" w:cs="Arial"/>
                <w:szCs w:val="20"/>
              </w:rPr>
              <w:t>W3 – Providing services and social infrastructure to meet people’s changing needs</w:t>
            </w:r>
          </w:p>
        </w:tc>
        <w:tc>
          <w:tcPr>
            <w:tcW w:w="7081" w:type="dxa"/>
            <w:shd w:val="clear" w:color="auto" w:fill="DDD0ED" w:themeFill="text1" w:themeFillTint="33"/>
          </w:tcPr>
          <w:p w14:paraId="0421F5CF" w14:textId="77777777" w:rsidR="00C61E27" w:rsidRPr="00B76734" w:rsidRDefault="00C61E27" w:rsidP="00B76734">
            <w:pPr>
              <w:pStyle w:val="Table-Text"/>
              <w:rPr>
                <w:rFonts w:ascii="Arial" w:hAnsi="Arial" w:cs="Arial"/>
                <w:szCs w:val="20"/>
              </w:rPr>
            </w:pPr>
            <w:r w:rsidRPr="00B76734">
              <w:rPr>
                <w:rFonts w:ascii="Arial" w:hAnsi="Arial" w:cs="Arial"/>
                <w:szCs w:val="20"/>
              </w:rPr>
              <w:t xml:space="preserve">The proposal sets aside land for a primary school and a community centre, as indicated as necessary in a Community Benefits Analysis. Further consultation will need to be held with Schools Infrastructure NSW to determine how the proposal can best satisfy the demand it will create for both primary and high schools. </w:t>
            </w:r>
          </w:p>
        </w:tc>
      </w:tr>
      <w:tr w:rsidR="00C61E27" w14:paraId="15FBE533" w14:textId="77777777" w:rsidTr="00B76734">
        <w:tc>
          <w:tcPr>
            <w:tcW w:w="2410" w:type="dxa"/>
            <w:shd w:val="clear" w:color="auto" w:fill="DDD0ED" w:themeFill="text1" w:themeFillTint="33"/>
          </w:tcPr>
          <w:p w14:paraId="12F432BF" w14:textId="77777777" w:rsidR="00C61E27" w:rsidRPr="00B76734" w:rsidRDefault="00C61E27" w:rsidP="00B76734">
            <w:pPr>
              <w:pStyle w:val="Table-Text"/>
              <w:rPr>
                <w:rFonts w:ascii="Arial" w:hAnsi="Arial" w:cs="Arial"/>
                <w:szCs w:val="20"/>
              </w:rPr>
            </w:pPr>
            <w:r w:rsidRPr="00B76734">
              <w:rPr>
                <w:rFonts w:ascii="Arial" w:hAnsi="Arial" w:cs="Arial"/>
                <w:szCs w:val="20"/>
              </w:rPr>
              <w:t>W4 – Fostering healthy, creative, culturally rich and socially connected communities</w:t>
            </w:r>
          </w:p>
        </w:tc>
        <w:tc>
          <w:tcPr>
            <w:tcW w:w="7081" w:type="dxa"/>
            <w:shd w:val="clear" w:color="auto" w:fill="DDD0ED" w:themeFill="text1" w:themeFillTint="33"/>
          </w:tcPr>
          <w:p w14:paraId="3D4B8A0D" w14:textId="77777777" w:rsidR="00C61E27" w:rsidRPr="00B76734" w:rsidRDefault="00C61E27" w:rsidP="00B76734">
            <w:pPr>
              <w:pStyle w:val="Table-Text"/>
              <w:rPr>
                <w:rFonts w:ascii="Arial" w:hAnsi="Arial" w:cs="Arial"/>
                <w:szCs w:val="20"/>
              </w:rPr>
            </w:pPr>
            <w:r w:rsidRPr="00B76734">
              <w:rPr>
                <w:rFonts w:ascii="Arial" w:hAnsi="Arial" w:cs="Arial"/>
                <w:szCs w:val="20"/>
              </w:rPr>
              <w:t>The Urban Design Study envisages a walkable precinct with most residential development within a 200m radius of open space, and a high level of tree canopy to reduce the urban heat island effect and encourage walkability. The sites location is near to Liverpool Station, which is predicted to reduce car dependence, and it is proposed that heritage assets are repurposed into a community market.</w:t>
            </w:r>
          </w:p>
        </w:tc>
      </w:tr>
      <w:tr w:rsidR="00C61E27" w14:paraId="16BAE504" w14:textId="77777777" w:rsidTr="00B76734">
        <w:tc>
          <w:tcPr>
            <w:tcW w:w="2410" w:type="dxa"/>
            <w:shd w:val="clear" w:color="auto" w:fill="DDD0ED" w:themeFill="text1" w:themeFillTint="33"/>
          </w:tcPr>
          <w:p w14:paraId="7B948C26" w14:textId="77777777" w:rsidR="00C61E27" w:rsidRPr="00B76734" w:rsidRDefault="00C61E27" w:rsidP="00B76734">
            <w:pPr>
              <w:pStyle w:val="Table-Text"/>
              <w:rPr>
                <w:rFonts w:ascii="Arial" w:hAnsi="Arial" w:cs="Arial"/>
                <w:szCs w:val="20"/>
              </w:rPr>
            </w:pPr>
            <w:r w:rsidRPr="00B76734">
              <w:rPr>
                <w:rFonts w:ascii="Arial" w:hAnsi="Arial" w:cs="Arial"/>
                <w:szCs w:val="20"/>
              </w:rPr>
              <w:t>W5 – Providing housing supply, choice and affordability, with access to jobs, services and public transport</w:t>
            </w:r>
          </w:p>
        </w:tc>
        <w:tc>
          <w:tcPr>
            <w:tcW w:w="7081" w:type="dxa"/>
            <w:shd w:val="clear" w:color="auto" w:fill="DDD0ED" w:themeFill="text1" w:themeFillTint="33"/>
          </w:tcPr>
          <w:p w14:paraId="4D74D923" w14:textId="381C24F2" w:rsidR="00C61E27" w:rsidRPr="00B76734" w:rsidRDefault="00C61E27" w:rsidP="00B76734">
            <w:pPr>
              <w:pStyle w:val="Table-Text"/>
              <w:rPr>
                <w:rFonts w:ascii="Arial" w:hAnsi="Arial" w:cs="Arial"/>
                <w:szCs w:val="20"/>
              </w:rPr>
            </w:pPr>
            <w:r w:rsidRPr="00B76734">
              <w:rPr>
                <w:rFonts w:ascii="Arial" w:hAnsi="Arial" w:cs="Arial"/>
                <w:szCs w:val="20"/>
              </w:rPr>
              <w:t xml:space="preserve">The proposal increases housing supply and access to jobs, services and public transport. </w:t>
            </w:r>
            <w:r w:rsidR="00D72C67" w:rsidRPr="00B76734">
              <w:rPr>
                <w:rFonts w:ascii="Arial" w:hAnsi="Arial" w:cs="Arial"/>
                <w:szCs w:val="20"/>
              </w:rPr>
              <w:t>T</w:t>
            </w:r>
            <w:r w:rsidRPr="00B76734">
              <w:rPr>
                <w:rFonts w:ascii="Arial" w:hAnsi="Arial" w:cs="Arial"/>
                <w:szCs w:val="20"/>
              </w:rPr>
              <w:t xml:space="preserve">he proposal does not indicate measures to improve housing affordability, such as a percentage of housing to be provided as affordable rental housing. Further discussion with DPIE/GSC </w:t>
            </w:r>
            <w:r w:rsidR="00D72C67" w:rsidRPr="00B76734">
              <w:rPr>
                <w:rFonts w:ascii="Arial" w:hAnsi="Arial" w:cs="Arial"/>
                <w:szCs w:val="20"/>
              </w:rPr>
              <w:t>will be</w:t>
            </w:r>
            <w:r w:rsidRPr="00B76734">
              <w:rPr>
                <w:rFonts w:ascii="Arial" w:hAnsi="Arial" w:cs="Arial"/>
                <w:szCs w:val="20"/>
              </w:rPr>
              <w:t xml:space="preserve"> required.</w:t>
            </w:r>
          </w:p>
        </w:tc>
      </w:tr>
      <w:tr w:rsidR="00C61E27" w14:paraId="4D791842" w14:textId="77777777" w:rsidTr="00B76734">
        <w:tc>
          <w:tcPr>
            <w:tcW w:w="2410" w:type="dxa"/>
            <w:shd w:val="clear" w:color="auto" w:fill="DDD0ED" w:themeFill="text1" w:themeFillTint="33"/>
          </w:tcPr>
          <w:p w14:paraId="1AF08101" w14:textId="77777777" w:rsidR="00C61E27" w:rsidRPr="00B76734" w:rsidRDefault="00C61E27" w:rsidP="00B76734">
            <w:pPr>
              <w:pStyle w:val="Table-Text"/>
              <w:rPr>
                <w:rFonts w:ascii="Arial" w:hAnsi="Arial" w:cs="Arial"/>
                <w:szCs w:val="20"/>
              </w:rPr>
            </w:pPr>
            <w:r w:rsidRPr="00B76734">
              <w:rPr>
                <w:rFonts w:ascii="Arial" w:hAnsi="Arial" w:cs="Arial"/>
                <w:szCs w:val="20"/>
              </w:rPr>
              <w:t>W6 – Creating and renewing great places and local centres, and respecting the District’s heritage</w:t>
            </w:r>
          </w:p>
        </w:tc>
        <w:tc>
          <w:tcPr>
            <w:tcW w:w="7081" w:type="dxa"/>
            <w:shd w:val="clear" w:color="auto" w:fill="DDD0ED" w:themeFill="text1" w:themeFillTint="33"/>
          </w:tcPr>
          <w:p w14:paraId="1791BFD5" w14:textId="77777777" w:rsidR="00C61E27" w:rsidRPr="00B76734" w:rsidRDefault="00C61E27" w:rsidP="00B76734">
            <w:pPr>
              <w:pStyle w:val="Table-Text"/>
              <w:rPr>
                <w:rFonts w:ascii="Arial" w:hAnsi="Arial" w:cs="Arial"/>
                <w:szCs w:val="20"/>
              </w:rPr>
            </w:pPr>
            <w:r w:rsidRPr="00B76734">
              <w:rPr>
                <w:rFonts w:ascii="Arial" w:hAnsi="Arial" w:cs="Arial"/>
                <w:szCs w:val="20"/>
              </w:rPr>
              <w:t>The proposal will reconnect the Liverpool city centre area to the Georges River and provide a continuous public open space network. It is envisaged that through a site-specific DCP a high amenity and connected precinct will result. A historical heritage assessment has indicated that three buildings – two 1940s sawtooth factory buildings and a front façade of an administration building – have high heritage value. The planning proposal request indicates that part of the two sawtooth factory buildings will be retained and adaptively reused for the purpose of a retail marketplace. The Administration building will also be retained and adapted for re-use.</w:t>
            </w:r>
          </w:p>
        </w:tc>
      </w:tr>
      <w:tr w:rsidR="00C61E27" w14:paraId="08A00982" w14:textId="77777777" w:rsidTr="00B76734">
        <w:tc>
          <w:tcPr>
            <w:tcW w:w="2410" w:type="dxa"/>
            <w:shd w:val="clear" w:color="auto" w:fill="DDD0ED" w:themeFill="text1" w:themeFillTint="33"/>
          </w:tcPr>
          <w:p w14:paraId="39A47990" w14:textId="77777777" w:rsidR="00C61E27" w:rsidRPr="00B76734" w:rsidRDefault="00C61E27" w:rsidP="00B76734">
            <w:pPr>
              <w:pStyle w:val="Table-Text"/>
              <w:rPr>
                <w:rFonts w:ascii="Arial" w:hAnsi="Arial" w:cs="Arial"/>
                <w:szCs w:val="20"/>
              </w:rPr>
            </w:pPr>
            <w:r w:rsidRPr="00B76734">
              <w:rPr>
                <w:rFonts w:ascii="Arial" w:hAnsi="Arial" w:cs="Arial"/>
                <w:szCs w:val="20"/>
              </w:rPr>
              <w:t>W9 – Growing and strengthening the metropolitan cluster</w:t>
            </w:r>
          </w:p>
        </w:tc>
        <w:tc>
          <w:tcPr>
            <w:tcW w:w="7081" w:type="dxa"/>
            <w:shd w:val="clear" w:color="auto" w:fill="DDD0ED" w:themeFill="text1" w:themeFillTint="33"/>
          </w:tcPr>
          <w:p w14:paraId="75D85E21" w14:textId="77777777" w:rsidR="00C61E27" w:rsidRPr="00B76734" w:rsidRDefault="00C61E27" w:rsidP="00B76734">
            <w:pPr>
              <w:pStyle w:val="Table-Text"/>
              <w:rPr>
                <w:rFonts w:ascii="Arial" w:hAnsi="Arial" w:cs="Arial"/>
                <w:szCs w:val="20"/>
              </w:rPr>
            </w:pPr>
            <w:r w:rsidRPr="00B76734">
              <w:rPr>
                <w:rFonts w:ascii="Arial" w:hAnsi="Arial" w:cs="Arial"/>
                <w:szCs w:val="20"/>
              </w:rPr>
              <w:t xml:space="preserve">The proposal will provide further housing and jobs to support the development of Liverpool as a metropolitan cluster, however the scale of development and amount of commercial floorspace indicated could compete with the existing commercial core if not appropriately managed and development staged.  </w:t>
            </w:r>
          </w:p>
        </w:tc>
      </w:tr>
      <w:tr w:rsidR="00C61E27" w14:paraId="386FFEDB" w14:textId="77777777" w:rsidTr="00B76734">
        <w:tc>
          <w:tcPr>
            <w:tcW w:w="2410" w:type="dxa"/>
            <w:shd w:val="clear" w:color="auto" w:fill="DDD0ED" w:themeFill="text1" w:themeFillTint="33"/>
          </w:tcPr>
          <w:p w14:paraId="7E997AE4" w14:textId="77777777" w:rsidR="00C61E27" w:rsidRPr="00B76734" w:rsidRDefault="00C61E27" w:rsidP="00B76734">
            <w:pPr>
              <w:pStyle w:val="Table-Text"/>
              <w:rPr>
                <w:rFonts w:ascii="Arial" w:hAnsi="Arial" w:cs="Arial"/>
                <w:szCs w:val="20"/>
              </w:rPr>
            </w:pPr>
            <w:r w:rsidRPr="00B76734">
              <w:rPr>
                <w:rFonts w:ascii="Arial" w:hAnsi="Arial" w:cs="Arial"/>
                <w:szCs w:val="20"/>
              </w:rPr>
              <w:t xml:space="preserve">W11 – Growing investment, business </w:t>
            </w:r>
            <w:r w:rsidRPr="00B76734">
              <w:rPr>
                <w:rFonts w:ascii="Arial" w:hAnsi="Arial" w:cs="Arial"/>
                <w:szCs w:val="20"/>
              </w:rPr>
              <w:lastRenderedPageBreak/>
              <w:t>opportunities and jobs in strategic centres</w:t>
            </w:r>
          </w:p>
        </w:tc>
        <w:tc>
          <w:tcPr>
            <w:tcW w:w="7081" w:type="dxa"/>
            <w:shd w:val="clear" w:color="auto" w:fill="DDD0ED" w:themeFill="text1" w:themeFillTint="33"/>
          </w:tcPr>
          <w:p w14:paraId="610C85A5" w14:textId="77777777" w:rsidR="00C61E27" w:rsidRPr="00B76734" w:rsidRDefault="00C61E27" w:rsidP="00B76734">
            <w:pPr>
              <w:pStyle w:val="Table-Text"/>
              <w:rPr>
                <w:rFonts w:ascii="Arial" w:hAnsi="Arial" w:cs="Arial"/>
                <w:szCs w:val="20"/>
              </w:rPr>
            </w:pPr>
            <w:r w:rsidRPr="00B76734">
              <w:rPr>
                <w:rFonts w:ascii="Arial" w:hAnsi="Arial" w:cs="Arial"/>
                <w:szCs w:val="20"/>
              </w:rPr>
              <w:lastRenderedPageBreak/>
              <w:t xml:space="preserve">An increase in residential and commercial development will support investment, business opportunities and jobs in the Liverpool city centre. An improvement in amenity and additional open space around the Georges </w:t>
            </w:r>
            <w:r w:rsidRPr="00B76734">
              <w:rPr>
                <w:rFonts w:ascii="Arial" w:hAnsi="Arial" w:cs="Arial"/>
                <w:szCs w:val="20"/>
              </w:rPr>
              <w:lastRenderedPageBreak/>
              <w:t>River will also increase the attractiveness of the area as an investment destination.</w:t>
            </w:r>
          </w:p>
        </w:tc>
      </w:tr>
      <w:tr w:rsidR="00C61E27" w14:paraId="47ADFA12" w14:textId="77777777" w:rsidTr="00B76734">
        <w:tc>
          <w:tcPr>
            <w:tcW w:w="2410" w:type="dxa"/>
            <w:shd w:val="clear" w:color="auto" w:fill="DDD0ED" w:themeFill="text1" w:themeFillTint="33"/>
          </w:tcPr>
          <w:p w14:paraId="3B90F153" w14:textId="77777777" w:rsidR="00C61E27" w:rsidRPr="00B76734" w:rsidRDefault="00C61E27" w:rsidP="00B76734">
            <w:pPr>
              <w:pStyle w:val="Table-Text"/>
              <w:rPr>
                <w:rFonts w:ascii="Arial" w:hAnsi="Arial" w:cs="Arial"/>
                <w:szCs w:val="20"/>
              </w:rPr>
            </w:pPr>
            <w:r w:rsidRPr="00B76734">
              <w:rPr>
                <w:rFonts w:ascii="Arial" w:hAnsi="Arial" w:cs="Arial"/>
                <w:szCs w:val="20"/>
              </w:rPr>
              <w:lastRenderedPageBreak/>
              <w:t>W12 – Protecting and improving the health and enjoyment of the District’s waterways</w:t>
            </w:r>
          </w:p>
        </w:tc>
        <w:tc>
          <w:tcPr>
            <w:tcW w:w="7081" w:type="dxa"/>
            <w:shd w:val="clear" w:color="auto" w:fill="DDD0ED" w:themeFill="text1" w:themeFillTint="33"/>
          </w:tcPr>
          <w:p w14:paraId="4286C7DB" w14:textId="77777777" w:rsidR="00C61E27" w:rsidRPr="00B76734" w:rsidRDefault="00C61E27" w:rsidP="00B76734">
            <w:pPr>
              <w:pStyle w:val="Table-Text"/>
              <w:rPr>
                <w:rFonts w:ascii="Arial" w:hAnsi="Arial" w:cs="Arial"/>
                <w:szCs w:val="20"/>
              </w:rPr>
            </w:pPr>
            <w:r w:rsidRPr="00B76734">
              <w:rPr>
                <w:rFonts w:ascii="Arial" w:hAnsi="Arial" w:cs="Arial"/>
                <w:szCs w:val="20"/>
              </w:rPr>
              <w:t>The proposal seeks to rezone industrial land around the Georges River to RE1, which will better protect the waterway while enhancing liveability by improving access and recreation opportunities. Some parts of planning proposal request impinge on Coastal Wetland Areas and may need to be revised to meet this Objective and Ministerial Directions.</w:t>
            </w:r>
          </w:p>
        </w:tc>
      </w:tr>
      <w:tr w:rsidR="00C61E27" w14:paraId="24C015AE" w14:textId="77777777" w:rsidTr="00B76734">
        <w:tc>
          <w:tcPr>
            <w:tcW w:w="2410" w:type="dxa"/>
            <w:shd w:val="clear" w:color="auto" w:fill="DDD0ED" w:themeFill="text1" w:themeFillTint="33"/>
          </w:tcPr>
          <w:p w14:paraId="785F5263" w14:textId="77777777" w:rsidR="00C61E27" w:rsidRPr="00B76734" w:rsidRDefault="00C61E27" w:rsidP="00B76734">
            <w:pPr>
              <w:pStyle w:val="Table-Text"/>
              <w:rPr>
                <w:rFonts w:ascii="Arial" w:hAnsi="Arial" w:cs="Arial"/>
                <w:szCs w:val="20"/>
              </w:rPr>
            </w:pPr>
            <w:r w:rsidRPr="00B76734">
              <w:rPr>
                <w:rFonts w:ascii="Arial" w:hAnsi="Arial" w:cs="Arial"/>
                <w:szCs w:val="20"/>
              </w:rPr>
              <w:t>W15 – Increasing urban tree canopy cover and delivering Green Grid connections</w:t>
            </w:r>
          </w:p>
        </w:tc>
        <w:tc>
          <w:tcPr>
            <w:tcW w:w="7081" w:type="dxa"/>
            <w:shd w:val="clear" w:color="auto" w:fill="DDD0ED" w:themeFill="text1" w:themeFillTint="33"/>
          </w:tcPr>
          <w:p w14:paraId="7BE89599" w14:textId="77777777" w:rsidR="00C61E27" w:rsidRPr="00B76734" w:rsidRDefault="00C61E27" w:rsidP="00B76734">
            <w:pPr>
              <w:pStyle w:val="Table-Text"/>
              <w:rPr>
                <w:rFonts w:ascii="Arial" w:hAnsi="Arial" w:cs="Arial"/>
                <w:szCs w:val="20"/>
              </w:rPr>
            </w:pPr>
            <w:r w:rsidRPr="00B76734">
              <w:rPr>
                <w:rFonts w:ascii="Arial" w:hAnsi="Arial" w:cs="Arial"/>
                <w:szCs w:val="20"/>
              </w:rPr>
              <w:t>The proposal provides green corridor connections between Liverpool Station and Haigh Park. The Urban Design Study also states an intention to significantly increase urban tree canopy on-site to 25%.</w:t>
            </w:r>
          </w:p>
        </w:tc>
      </w:tr>
      <w:tr w:rsidR="00C61E27" w14:paraId="52D8CA38" w14:textId="77777777" w:rsidTr="00B76734">
        <w:tc>
          <w:tcPr>
            <w:tcW w:w="2410" w:type="dxa"/>
            <w:shd w:val="clear" w:color="auto" w:fill="DDD0ED" w:themeFill="text1" w:themeFillTint="33"/>
          </w:tcPr>
          <w:p w14:paraId="780C7ADD" w14:textId="77777777" w:rsidR="00C61E27" w:rsidRPr="00B76734" w:rsidRDefault="00C61E27" w:rsidP="00B76734">
            <w:pPr>
              <w:pStyle w:val="Table-Text"/>
              <w:rPr>
                <w:rFonts w:ascii="Arial" w:hAnsi="Arial" w:cs="Arial"/>
                <w:szCs w:val="20"/>
              </w:rPr>
            </w:pPr>
            <w:r w:rsidRPr="00B76734">
              <w:rPr>
                <w:rFonts w:ascii="Arial" w:hAnsi="Arial" w:cs="Arial"/>
                <w:szCs w:val="20"/>
              </w:rPr>
              <w:t>W18 – Delivering high quality open space</w:t>
            </w:r>
          </w:p>
        </w:tc>
        <w:tc>
          <w:tcPr>
            <w:tcW w:w="7081" w:type="dxa"/>
            <w:shd w:val="clear" w:color="auto" w:fill="DDD0ED" w:themeFill="text1" w:themeFillTint="33"/>
          </w:tcPr>
          <w:p w14:paraId="11D27B81" w14:textId="2DDE40C5" w:rsidR="00C61E27" w:rsidRPr="00B76734" w:rsidRDefault="00C61E27" w:rsidP="00B76734">
            <w:pPr>
              <w:pStyle w:val="Table-Text"/>
              <w:rPr>
                <w:rFonts w:ascii="Arial" w:hAnsi="Arial" w:cs="Arial"/>
                <w:szCs w:val="20"/>
              </w:rPr>
            </w:pPr>
            <w:r w:rsidRPr="00B76734">
              <w:rPr>
                <w:rFonts w:ascii="Arial" w:hAnsi="Arial" w:cs="Arial"/>
                <w:szCs w:val="20"/>
              </w:rPr>
              <w:t>The proposal will provide additional open space in the city centre and provide better access to natural assets, such as Lake Moore. An Interim Letter of Offer also states that park embellishments could be provided as part of a public benefits package through a voluntary planning agreement</w:t>
            </w:r>
            <w:r w:rsidR="00D72C67" w:rsidRPr="00B76734">
              <w:rPr>
                <w:rFonts w:ascii="Arial" w:hAnsi="Arial" w:cs="Arial"/>
                <w:szCs w:val="20"/>
              </w:rPr>
              <w:t xml:space="preserve">. </w:t>
            </w:r>
            <w:r w:rsidRPr="00B76734">
              <w:rPr>
                <w:rFonts w:ascii="Arial" w:hAnsi="Arial" w:cs="Arial"/>
                <w:szCs w:val="20"/>
              </w:rPr>
              <w:t xml:space="preserve">Council </w:t>
            </w:r>
            <w:r w:rsidR="00D72C67" w:rsidRPr="00B76734">
              <w:rPr>
                <w:rFonts w:ascii="Arial" w:hAnsi="Arial" w:cs="Arial"/>
                <w:szCs w:val="20"/>
              </w:rPr>
              <w:t xml:space="preserve">is undertaking an open space needs assessment to </w:t>
            </w:r>
            <w:r w:rsidR="00052778" w:rsidRPr="00B76734">
              <w:rPr>
                <w:rFonts w:ascii="Arial" w:hAnsi="Arial" w:cs="Arial"/>
                <w:szCs w:val="20"/>
              </w:rPr>
              <w:t>determine whether</w:t>
            </w:r>
            <w:r w:rsidRPr="00B76734">
              <w:rPr>
                <w:rFonts w:ascii="Arial" w:hAnsi="Arial" w:cs="Arial"/>
                <w:szCs w:val="20"/>
              </w:rPr>
              <w:t xml:space="preserve"> additional open space </w:t>
            </w:r>
            <w:r w:rsidR="00052778" w:rsidRPr="00B76734">
              <w:rPr>
                <w:rFonts w:ascii="Arial" w:hAnsi="Arial" w:cs="Arial"/>
                <w:szCs w:val="20"/>
              </w:rPr>
              <w:t>is required on site.</w:t>
            </w:r>
          </w:p>
        </w:tc>
      </w:tr>
      <w:tr w:rsidR="00C61E27" w14:paraId="2F6D70F9" w14:textId="77777777" w:rsidTr="00B76734">
        <w:tc>
          <w:tcPr>
            <w:tcW w:w="2410" w:type="dxa"/>
            <w:shd w:val="clear" w:color="auto" w:fill="DDD0ED" w:themeFill="text1" w:themeFillTint="33"/>
          </w:tcPr>
          <w:p w14:paraId="61D2B5AF" w14:textId="77777777" w:rsidR="00C61E27" w:rsidRPr="00B76734" w:rsidRDefault="00C61E27" w:rsidP="00B76734">
            <w:pPr>
              <w:pStyle w:val="Table-Text"/>
              <w:rPr>
                <w:rFonts w:ascii="Arial" w:hAnsi="Arial" w:cs="Arial"/>
                <w:szCs w:val="20"/>
              </w:rPr>
            </w:pPr>
            <w:r w:rsidRPr="00B76734">
              <w:rPr>
                <w:rFonts w:ascii="Arial" w:hAnsi="Arial" w:cs="Arial"/>
                <w:szCs w:val="20"/>
              </w:rPr>
              <w:t>W19 – Reducing carbon emissions and managing energy, water and waste efficiently</w:t>
            </w:r>
          </w:p>
        </w:tc>
        <w:tc>
          <w:tcPr>
            <w:tcW w:w="7081" w:type="dxa"/>
            <w:shd w:val="clear" w:color="auto" w:fill="DDD0ED" w:themeFill="text1" w:themeFillTint="33"/>
          </w:tcPr>
          <w:p w14:paraId="39B9FEB6" w14:textId="29A314E0" w:rsidR="00C61E27" w:rsidRPr="00B76734" w:rsidRDefault="00C61E27" w:rsidP="00B76734">
            <w:pPr>
              <w:pStyle w:val="Table-Text"/>
              <w:rPr>
                <w:rFonts w:ascii="Arial" w:hAnsi="Arial" w:cs="Arial"/>
                <w:szCs w:val="20"/>
              </w:rPr>
            </w:pPr>
            <w:r w:rsidRPr="00B76734">
              <w:rPr>
                <w:rFonts w:ascii="Arial" w:hAnsi="Arial" w:cs="Arial"/>
                <w:szCs w:val="20"/>
              </w:rPr>
              <w:t xml:space="preserve">A Placemaking Working Group has been established between Council and the proponents to explore placemaking and sustainability opportunities post-Gateway, which could include ways the proposal can address climate change. It is the planning proposal’s intention for development to incorporate water sensitive urban design through a site-specific DCP. Ongoing consultation with Sydney Water to investigate recycled water provision on-site has also been encouraged. </w:t>
            </w:r>
          </w:p>
        </w:tc>
      </w:tr>
      <w:tr w:rsidR="00C61E27" w14:paraId="24B8AF32" w14:textId="77777777" w:rsidTr="00B76734">
        <w:tc>
          <w:tcPr>
            <w:tcW w:w="2410" w:type="dxa"/>
            <w:shd w:val="clear" w:color="auto" w:fill="DDD0ED" w:themeFill="text1" w:themeFillTint="33"/>
          </w:tcPr>
          <w:p w14:paraId="1493C6AB" w14:textId="77777777" w:rsidR="00C61E27" w:rsidRPr="00B76734" w:rsidRDefault="00C61E27" w:rsidP="00B76734">
            <w:pPr>
              <w:pStyle w:val="Table-Text"/>
              <w:rPr>
                <w:rFonts w:ascii="Arial" w:hAnsi="Arial" w:cs="Arial"/>
                <w:szCs w:val="20"/>
              </w:rPr>
            </w:pPr>
            <w:r w:rsidRPr="00B76734">
              <w:rPr>
                <w:rFonts w:ascii="Arial" w:hAnsi="Arial" w:cs="Arial"/>
                <w:szCs w:val="20"/>
              </w:rPr>
              <w:t>W20 – Adapting to the impacts of urban and natural hazards and climate change</w:t>
            </w:r>
          </w:p>
        </w:tc>
        <w:tc>
          <w:tcPr>
            <w:tcW w:w="7081" w:type="dxa"/>
            <w:shd w:val="clear" w:color="auto" w:fill="DDD0ED" w:themeFill="text1" w:themeFillTint="33"/>
          </w:tcPr>
          <w:p w14:paraId="0439492B" w14:textId="7897837B" w:rsidR="00C61E27" w:rsidRPr="00B76734" w:rsidRDefault="00C61E27" w:rsidP="00B76734">
            <w:pPr>
              <w:pStyle w:val="Table-Text"/>
              <w:rPr>
                <w:rFonts w:ascii="Arial" w:hAnsi="Arial" w:cs="Arial"/>
                <w:szCs w:val="20"/>
              </w:rPr>
            </w:pPr>
            <w:r w:rsidRPr="00B76734">
              <w:rPr>
                <w:rFonts w:ascii="Arial" w:hAnsi="Arial" w:cs="Arial"/>
                <w:szCs w:val="20"/>
              </w:rPr>
              <w:t>The site currently sits within the flood planning area, with much of the site exposed to 1-in-100-year flood events. There is likely to be a solution to make the development site suitable for residential development with off-site flood mitigation works, however further investigation needs to be conducted post-Gateway to ensure this is a workable and acceptable solution to Council.</w:t>
            </w:r>
          </w:p>
        </w:tc>
      </w:tr>
      <w:tr w:rsidR="00052778" w14:paraId="7154396F" w14:textId="77777777" w:rsidTr="003606ED">
        <w:tc>
          <w:tcPr>
            <w:tcW w:w="9491" w:type="dxa"/>
            <w:gridSpan w:val="2"/>
            <w:shd w:val="clear" w:color="auto" w:fill="9B73CA" w:themeFill="text1" w:themeFillTint="99"/>
          </w:tcPr>
          <w:p w14:paraId="3CDFD0A6" w14:textId="0C543BFD" w:rsidR="00052778" w:rsidRPr="00052778" w:rsidRDefault="00052778" w:rsidP="003652C9">
            <w:pPr>
              <w:autoSpaceDE w:val="0"/>
              <w:autoSpaceDN w:val="0"/>
              <w:adjustRightInd w:val="0"/>
              <w:rPr>
                <w:rFonts w:ascii="ArialMT" w:hAnsi="ArialMT" w:cs="ArialMT"/>
                <w:b/>
                <w:bCs/>
              </w:rPr>
            </w:pPr>
            <w:r w:rsidRPr="00052778">
              <w:rPr>
                <w:rFonts w:ascii="ArialMT" w:hAnsi="ArialMT" w:cs="ArialMT"/>
                <w:b/>
                <w:bCs/>
              </w:rPr>
              <w:t>Actions for the Collaboration Area</w:t>
            </w:r>
          </w:p>
        </w:tc>
      </w:tr>
      <w:tr w:rsidR="00B76734" w14:paraId="5FC798FA" w14:textId="77777777" w:rsidTr="00B76734">
        <w:tc>
          <w:tcPr>
            <w:tcW w:w="2410" w:type="dxa"/>
            <w:shd w:val="clear" w:color="auto" w:fill="DDD0ED" w:themeFill="text1" w:themeFillTint="33"/>
          </w:tcPr>
          <w:p w14:paraId="472C3BF4" w14:textId="6BE30105" w:rsidR="00B76734" w:rsidRPr="00B76734" w:rsidRDefault="00B76734" w:rsidP="00B76734">
            <w:pPr>
              <w:pStyle w:val="Table-Text"/>
              <w:rPr>
                <w:rFonts w:ascii="Arial" w:hAnsi="Arial" w:cs="Arial"/>
                <w:szCs w:val="20"/>
              </w:rPr>
            </w:pPr>
            <w:r>
              <w:rPr>
                <w:rFonts w:ascii="Arial" w:hAnsi="Arial" w:cs="Arial"/>
                <w:szCs w:val="20"/>
              </w:rPr>
              <w:t xml:space="preserve">1. </w:t>
            </w:r>
            <w:r w:rsidRPr="00112EF7">
              <w:rPr>
                <w:rFonts w:ascii="Arial" w:hAnsi="Arial" w:cs="Arial"/>
                <w:szCs w:val="20"/>
              </w:rPr>
              <w:t>Increase housing diversity and provide affordable housing</w:t>
            </w:r>
          </w:p>
        </w:tc>
        <w:tc>
          <w:tcPr>
            <w:tcW w:w="7081" w:type="dxa"/>
            <w:shd w:val="clear" w:color="auto" w:fill="DDD0ED" w:themeFill="text1" w:themeFillTint="33"/>
          </w:tcPr>
          <w:p w14:paraId="581ABE93" w14:textId="77777777" w:rsidR="00B76734" w:rsidRPr="00112EF7" w:rsidRDefault="00B76734" w:rsidP="00B76734">
            <w:pPr>
              <w:pStyle w:val="Table-Text"/>
              <w:rPr>
                <w:rFonts w:ascii="Arial" w:hAnsi="Arial" w:cs="Arial"/>
                <w:szCs w:val="20"/>
              </w:rPr>
            </w:pPr>
            <w:r w:rsidRPr="00112EF7">
              <w:rPr>
                <w:rFonts w:ascii="Arial" w:hAnsi="Arial" w:cs="Arial"/>
                <w:szCs w:val="20"/>
              </w:rPr>
              <w:t>The proposal will provide residential</w:t>
            </w:r>
            <w:r>
              <w:rPr>
                <w:rFonts w:ascii="Arial" w:hAnsi="Arial" w:cs="Arial"/>
                <w:szCs w:val="20"/>
              </w:rPr>
              <w:t xml:space="preserve"> apartments on site</w:t>
            </w:r>
            <w:r w:rsidRPr="00112EF7">
              <w:rPr>
                <w:rFonts w:ascii="Arial" w:hAnsi="Arial" w:cs="Arial"/>
                <w:szCs w:val="20"/>
              </w:rPr>
              <w:t>. Take-up analysis indicates demand for approximately 6,900 dwellings to 2036.</w:t>
            </w:r>
          </w:p>
          <w:p w14:paraId="0704D763" w14:textId="150DFD33" w:rsidR="00B76734" w:rsidRDefault="00B76734" w:rsidP="00B76734">
            <w:pPr>
              <w:autoSpaceDE w:val="0"/>
              <w:autoSpaceDN w:val="0"/>
              <w:adjustRightInd w:val="0"/>
              <w:rPr>
                <w:rFonts w:ascii="ArialMT" w:hAnsi="ArialMT" w:cs="ArialMT"/>
              </w:rPr>
            </w:pPr>
            <w:r w:rsidRPr="00112EF7">
              <w:rPr>
                <w:rFonts w:ascii="Arial" w:hAnsi="Arial" w:cs="Arial"/>
                <w:sz w:val="20"/>
                <w:szCs w:val="20"/>
              </w:rPr>
              <w:t>The additional housing proposed will provide housing choice and diversity.</w:t>
            </w:r>
          </w:p>
        </w:tc>
      </w:tr>
      <w:tr w:rsidR="00B76734" w14:paraId="0A12CACA" w14:textId="77777777" w:rsidTr="00B76734">
        <w:tc>
          <w:tcPr>
            <w:tcW w:w="2410" w:type="dxa"/>
            <w:shd w:val="clear" w:color="auto" w:fill="DDD0ED" w:themeFill="text1" w:themeFillTint="33"/>
          </w:tcPr>
          <w:p w14:paraId="07448883" w14:textId="6E0B95EF" w:rsidR="00B76734" w:rsidRPr="00B76734" w:rsidRDefault="00B76734" w:rsidP="00B76734">
            <w:pPr>
              <w:pStyle w:val="Table-Text"/>
              <w:rPr>
                <w:rFonts w:ascii="Arial" w:hAnsi="Arial" w:cs="Arial"/>
                <w:szCs w:val="20"/>
              </w:rPr>
            </w:pPr>
            <w:r>
              <w:rPr>
                <w:rFonts w:ascii="Arial" w:hAnsi="Arial" w:cs="Arial"/>
                <w:szCs w:val="20"/>
              </w:rPr>
              <w:t xml:space="preserve">2. </w:t>
            </w:r>
            <w:r w:rsidRPr="00112EF7">
              <w:rPr>
                <w:rFonts w:ascii="Arial" w:hAnsi="Arial" w:cs="Arial"/>
                <w:szCs w:val="20"/>
              </w:rPr>
              <w:t>Improve and coordinate transport and other infrastructure to support job growth</w:t>
            </w:r>
          </w:p>
        </w:tc>
        <w:tc>
          <w:tcPr>
            <w:tcW w:w="7081" w:type="dxa"/>
            <w:shd w:val="clear" w:color="auto" w:fill="DDD0ED" w:themeFill="text1" w:themeFillTint="33"/>
          </w:tcPr>
          <w:p w14:paraId="15511485" w14:textId="77777777" w:rsidR="00B76734" w:rsidRPr="00112EF7" w:rsidRDefault="00B76734" w:rsidP="00B76734">
            <w:pPr>
              <w:pStyle w:val="Table-Text"/>
              <w:rPr>
                <w:rFonts w:ascii="Arial" w:hAnsi="Arial" w:cs="Arial"/>
                <w:szCs w:val="20"/>
              </w:rPr>
            </w:pPr>
            <w:r w:rsidRPr="00112EF7">
              <w:rPr>
                <w:rFonts w:ascii="Arial" w:hAnsi="Arial" w:cs="Arial"/>
                <w:szCs w:val="20"/>
              </w:rPr>
              <w:t>The proposal integrates active modes of transport with public transport infrastructure including new cycle links and pedestrian connectivity to Liverpool Train Station.</w:t>
            </w:r>
          </w:p>
          <w:p w14:paraId="6B35CD53" w14:textId="628CFB38" w:rsidR="00B76734" w:rsidRDefault="00B76734" w:rsidP="0045630D">
            <w:pPr>
              <w:pStyle w:val="Table-Text"/>
              <w:rPr>
                <w:rFonts w:ascii="ArialMT" w:hAnsi="ArialMT" w:cs="ArialMT"/>
              </w:rPr>
            </w:pPr>
            <w:r w:rsidRPr="00112EF7">
              <w:rPr>
                <w:rFonts w:ascii="Arial" w:hAnsi="Arial" w:cs="Arial"/>
                <w:szCs w:val="20"/>
              </w:rPr>
              <w:t xml:space="preserve">The future South West Metro extension will further reinforce the suitability of new development in Moorebank. The project team has established a TIWG to ensure place-based transport infrastructure can be planned and delivered in line with the site’s rezoning. </w:t>
            </w:r>
          </w:p>
        </w:tc>
      </w:tr>
      <w:tr w:rsidR="00B76734" w14:paraId="1582798B" w14:textId="77777777" w:rsidTr="00B76734">
        <w:tc>
          <w:tcPr>
            <w:tcW w:w="2410" w:type="dxa"/>
            <w:shd w:val="clear" w:color="auto" w:fill="DDD0ED" w:themeFill="text1" w:themeFillTint="33"/>
          </w:tcPr>
          <w:p w14:paraId="0DFA4E93" w14:textId="0EDDFB3B" w:rsidR="00B76734" w:rsidRPr="00B76734" w:rsidRDefault="00B76734" w:rsidP="00B76734">
            <w:pPr>
              <w:pStyle w:val="Table-Text"/>
              <w:rPr>
                <w:rFonts w:ascii="Arial" w:hAnsi="Arial" w:cs="Arial"/>
                <w:szCs w:val="20"/>
              </w:rPr>
            </w:pPr>
            <w:r>
              <w:rPr>
                <w:rFonts w:ascii="Arial" w:hAnsi="Arial" w:cs="Arial"/>
                <w:szCs w:val="20"/>
              </w:rPr>
              <w:lastRenderedPageBreak/>
              <w:t xml:space="preserve">3. </w:t>
            </w:r>
            <w:r w:rsidRPr="00112EF7">
              <w:rPr>
                <w:rFonts w:ascii="Arial" w:hAnsi="Arial" w:cs="Arial"/>
                <w:szCs w:val="20"/>
              </w:rPr>
              <w:t>Develop smart jobs around the health and education precinct, particularly in the areas of advanced</w:t>
            </w:r>
            <w:r>
              <w:rPr>
                <w:rFonts w:ascii="Arial" w:hAnsi="Arial" w:cs="Arial"/>
                <w:szCs w:val="20"/>
              </w:rPr>
              <w:t xml:space="preserve"> </w:t>
            </w:r>
            <w:r w:rsidRPr="00112EF7">
              <w:rPr>
                <w:rFonts w:ascii="Arial" w:hAnsi="Arial" w:cs="Arial"/>
                <w:szCs w:val="20"/>
              </w:rPr>
              <w:t>manufacturing and logistics, automation and translational research</w:t>
            </w:r>
          </w:p>
        </w:tc>
        <w:tc>
          <w:tcPr>
            <w:tcW w:w="7081" w:type="dxa"/>
            <w:shd w:val="clear" w:color="auto" w:fill="DDD0ED" w:themeFill="text1" w:themeFillTint="33"/>
          </w:tcPr>
          <w:p w14:paraId="583B24FD" w14:textId="77777777" w:rsidR="00B76734" w:rsidRPr="00112EF7" w:rsidRDefault="00B76734" w:rsidP="00B76734">
            <w:pPr>
              <w:pStyle w:val="Table-Text"/>
              <w:rPr>
                <w:rFonts w:ascii="Arial" w:hAnsi="Arial" w:cs="Arial"/>
                <w:szCs w:val="20"/>
              </w:rPr>
            </w:pPr>
            <w:r w:rsidRPr="00112EF7">
              <w:rPr>
                <w:rFonts w:ascii="Arial" w:hAnsi="Arial" w:cs="Arial"/>
                <w:szCs w:val="20"/>
              </w:rPr>
              <w:t xml:space="preserve">The proposal will ensure smart jobs can be pursued through the B6 Enterprise Corridor zone located along Newbridge Road to ensure smart jobs align with the function of Newbridge Road.   </w:t>
            </w:r>
          </w:p>
          <w:p w14:paraId="56A510CD" w14:textId="7006EA8E" w:rsidR="00B76734" w:rsidRPr="00B76734" w:rsidRDefault="00B76734" w:rsidP="00B76734">
            <w:pPr>
              <w:pStyle w:val="Table-Text"/>
              <w:rPr>
                <w:rFonts w:ascii="Arial" w:hAnsi="Arial" w:cs="Arial"/>
                <w:szCs w:val="20"/>
              </w:rPr>
            </w:pPr>
            <w:r w:rsidRPr="00112EF7">
              <w:rPr>
                <w:rFonts w:ascii="Arial" w:hAnsi="Arial" w:cs="Arial"/>
                <w:szCs w:val="20"/>
              </w:rPr>
              <w:t xml:space="preserve">The B6 Enterprise Corridor provides for land uses that are conducive to the creation of smart jobs on the site. </w:t>
            </w:r>
          </w:p>
        </w:tc>
      </w:tr>
      <w:tr w:rsidR="00B76734" w14:paraId="64E0C605" w14:textId="77777777" w:rsidTr="00B76734">
        <w:tc>
          <w:tcPr>
            <w:tcW w:w="2410" w:type="dxa"/>
            <w:shd w:val="clear" w:color="auto" w:fill="DDD0ED" w:themeFill="text1" w:themeFillTint="33"/>
          </w:tcPr>
          <w:p w14:paraId="497D80A5" w14:textId="5F0457DF" w:rsidR="00B76734" w:rsidRPr="00B76734" w:rsidRDefault="00B76734" w:rsidP="00B76734">
            <w:pPr>
              <w:pStyle w:val="Table-Text"/>
              <w:rPr>
                <w:rFonts w:ascii="Arial" w:hAnsi="Arial" w:cs="Arial"/>
                <w:szCs w:val="20"/>
              </w:rPr>
            </w:pPr>
            <w:r>
              <w:rPr>
                <w:rFonts w:ascii="Arial" w:hAnsi="Arial" w:cs="Arial"/>
                <w:szCs w:val="20"/>
              </w:rPr>
              <w:t xml:space="preserve">4. </w:t>
            </w:r>
            <w:r w:rsidRPr="00112EF7">
              <w:rPr>
                <w:rFonts w:ascii="Arial" w:hAnsi="Arial" w:cs="Arial"/>
                <w:szCs w:val="20"/>
              </w:rPr>
              <w:t xml:space="preserve">Improve the night-time economy, mixed use and transport connections </w:t>
            </w:r>
          </w:p>
        </w:tc>
        <w:tc>
          <w:tcPr>
            <w:tcW w:w="7081" w:type="dxa"/>
            <w:shd w:val="clear" w:color="auto" w:fill="DDD0ED" w:themeFill="text1" w:themeFillTint="33"/>
          </w:tcPr>
          <w:p w14:paraId="6EBD07CA" w14:textId="2FC68542"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will facilitate the creation of a nigh-time economy through the proposed B4 mixed use zoning, which can facilitate a variety of active uses.  </w:t>
            </w:r>
          </w:p>
        </w:tc>
      </w:tr>
      <w:tr w:rsidR="00B76734" w14:paraId="70AD25B8" w14:textId="77777777" w:rsidTr="00B76734">
        <w:tc>
          <w:tcPr>
            <w:tcW w:w="2410" w:type="dxa"/>
            <w:shd w:val="clear" w:color="auto" w:fill="DDD0ED" w:themeFill="text1" w:themeFillTint="33"/>
          </w:tcPr>
          <w:p w14:paraId="1E198E8D" w14:textId="32E2EC01" w:rsidR="00B76734" w:rsidRPr="00B76734" w:rsidRDefault="00B76734" w:rsidP="00B76734">
            <w:pPr>
              <w:pStyle w:val="Table-Text"/>
              <w:rPr>
                <w:rFonts w:ascii="Arial" w:hAnsi="Arial" w:cs="Arial"/>
                <w:szCs w:val="20"/>
              </w:rPr>
            </w:pPr>
            <w:r>
              <w:rPr>
                <w:rFonts w:ascii="Arial" w:hAnsi="Arial" w:cs="Arial"/>
                <w:szCs w:val="20"/>
              </w:rPr>
              <w:t xml:space="preserve">5. </w:t>
            </w:r>
            <w:r w:rsidRPr="00112EF7">
              <w:rPr>
                <w:rFonts w:ascii="Arial" w:hAnsi="Arial" w:cs="Arial"/>
                <w:szCs w:val="20"/>
              </w:rPr>
              <w:t>Improve urban liveability and Liverpool’s sense of place</w:t>
            </w:r>
          </w:p>
        </w:tc>
        <w:tc>
          <w:tcPr>
            <w:tcW w:w="7081" w:type="dxa"/>
            <w:shd w:val="clear" w:color="auto" w:fill="DDD0ED" w:themeFill="text1" w:themeFillTint="33"/>
          </w:tcPr>
          <w:p w14:paraId="1CB245F5" w14:textId="77777777" w:rsidR="00B76734" w:rsidRPr="00112EF7" w:rsidRDefault="00B76734" w:rsidP="00B76734">
            <w:pPr>
              <w:pStyle w:val="Table-Text"/>
              <w:rPr>
                <w:rFonts w:ascii="Arial" w:hAnsi="Arial" w:cs="Arial"/>
                <w:szCs w:val="20"/>
              </w:rPr>
            </w:pPr>
            <w:r w:rsidRPr="00112EF7">
              <w:rPr>
                <w:rFonts w:ascii="Arial" w:hAnsi="Arial" w:cs="Arial"/>
                <w:szCs w:val="20"/>
              </w:rPr>
              <w:t>The site’s current zoning and planning controls do not improve urban liveability or allow residents to celebrate the cities sense of place.</w:t>
            </w:r>
          </w:p>
          <w:p w14:paraId="557E7DCE" w14:textId="7E329B8C"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will transform Liverpool CBD into Sydney’s third CBD with significant investment in open space and public domain, high-quality mixed-use buildings and celebration of local heritage and orientation towards natural assets.  </w:t>
            </w:r>
          </w:p>
        </w:tc>
      </w:tr>
      <w:tr w:rsidR="00B76734" w14:paraId="5B8DF6ED" w14:textId="77777777" w:rsidTr="00B76734">
        <w:tc>
          <w:tcPr>
            <w:tcW w:w="2410" w:type="dxa"/>
            <w:shd w:val="clear" w:color="auto" w:fill="DDD0ED" w:themeFill="text1" w:themeFillTint="33"/>
          </w:tcPr>
          <w:p w14:paraId="3D8CF489" w14:textId="1FA5976D" w:rsidR="00B76734" w:rsidRPr="00B76734" w:rsidRDefault="00B76734" w:rsidP="00B76734">
            <w:pPr>
              <w:pStyle w:val="Table-Text"/>
              <w:rPr>
                <w:rFonts w:ascii="Arial" w:hAnsi="Arial" w:cs="Arial"/>
                <w:szCs w:val="20"/>
              </w:rPr>
            </w:pPr>
            <w:r>
              <w:rPr>
                <w:rFonts w:ascii="Arial" w:hAnsi="Arial" w:cs="Arial"/>
                <w:szCs w:val="20"/>
              </w:rPr>
              <w:t xml:space="preserve">6. </w:t>
            </w:r>
            <w:r w:rsidRPr="00112EF7">
              <w:rPr>
                <w:rFonts w:ascii="Arial" w:hAnsi="Arial" w:cs="Arial"/>
                <w:szCs w:val="20"/>
              </w:rPr>
              <w:t>Improve environmental outcomes around the Georges River</w:t>
            </w:r>
          </w:p>
        </w:tc>
        <w:tc>
          <w:tcPr>
            <w:tcW w:w="7081" w:type="dxa"/>
            <w:shd w:val="clear" w:color="auto" w:fill="DDD0ED" w:themeFill="text1" w:themeFillTint="33"/>
          </w:tcPr>
          <w:p w14:paraId="161F58CE" w14:textId="77777777" w:rsidR="00B76734" w:rsidRPr="00112EF7" w:rsidRDefault="00B76734" w:rsidP="00B76734">
            <w:pPr>
              <w:pStyle w:val="Table-Text"/>
              <w:rPr>
                <w:rFonts w:ascii="Arial" w:hAnsi="Arial" w:cs="Arial"/>
                <w:szCs w:val="20"/>
              </w:rPr>
            </w:pPr>
            <w:r w:rsidRPr="00112EF7">
              <w:rPr>
                <w:rFonts w:ascii="Arial" w:hAnsi="Arial" w:cs="Arial"/>
                <w:szCs w:val="20"/>
              </w:rPr>
              <w:t xml:space="preserve">The current industrial use on the site is considered to have a higher impact in regard to the health and remediation of the surrounding river and waterways. The current use of the site provides no incentive to respond to its foreshore setting via built form and design of buildings. </w:t>
            </w:r>
          </w:p>
          <w:p w14:paraId="638E0CCD" w14:textId="4B9E939A" w:rsidR="00B76734" w:rsidRPr="00B76734" w:rsidRDefault="00B76734" w:rsidP="00B76734">
            <w:pPr>
              <w:pStyle w:val="Table-Text"/>
              <w:rPr>
                <w:rFonts w:ascii="Arial" w:hAnsi="Arial" w:cs="Arial"/>
                <w:szCs w:val="20"/>
              </w:rPr>
            </w:pPr>
            <w:r w:rsidRPr="00112EF7">
              <w:rPr>
                <w:rFonts w:ascii="Arial" w:hAnsi="Arial" w:cs="Arial"/>
                <w:szCs w:val="20"/>
              </w:rPr>
              <w:t>The proposal will result in uses that have lower impact on the Georges River in tandem with bank rehabilitation for passive recreational uses.</w:t>
            </w:r>
          </w:p>
        </w:tc>
      </w:tr>
      <w:tr w:rsidR="00B76734" w14:paraId="29596A7C" w14:textId="77777777" w:rsidTr="00B76734">
        <w:tc>
          <w:tcPr>
            <w:tcW w:w="2410" w:type="dxa"/>
            <w:shd w:val="clear" w:color="auto" w:fill="DDD0ED" w:themeFill="text1" w:themeFillTint="33"/>
          </w:tcPr>
          <w:p w14:paraId="7046D5DC" w14:textId="439F5C3E" w:rsidR="00B76734" w:rsidRPr="00B76734" w:rsidRDefault="00B76734" w:rsidP="00B76734">
            <w:pPr>
              <w:pStyle w:val="Table-Text"/>
              <w:rPr>
                <w:rFonts w:ascii="Arial" w:hAnsi="Arial" w:cs="Arial"/>
                <w:szCs w:val="20"/>
              </w:rPr>
            </w:pPr>
            <w:r>
              <w:rPr>
                <w:rFonts w:ascii="Arial" w:hAnsi="Arial" w:cs="Arial"/>
                <w:szCs w:val="20"/>
              </w:rPr>
              <w:t xml:space="preserve">7. </w:t>
            </w:r>
            <w:r w:rsidRPr="00112EF7">
              <w:rPr>
                <w:rFonts w:ascii="Arial" w:hAnsi="Arial" w:cs="Arial"/>
                <w:szCs w:val="20"/>
              </w:rPr>
              <w:t xml:space="preserve">Develop Greater Sydney Green Grid projects </w:t>
            </w:r>
          </w:p>
        </w:tc>
        <w:tc>
          <w:tcPr>
            <w:tcW w:w="7081" w:type="dxa"/>
            <w:shd w:val="clear" w:color="auto" w:fill="DDD0ED" w:themeFill="text1" w:themeFillTint="33"/>
          </w:tcPr>
          <w:p w14:paraId="68874B1C" w14:textId="6D378020" w:rsidR="00B76734" w:rsidRPr="00B76734" w:rsidRDefault="00B76734" w:rsidP="00B76734">
            <w:pPr>
              <w:pStyle w:val="Table-Text"/>
              <w:rPr>
                <w:rFonts w:ascii="Arial" w:hAnsi="Arial" w:cs="Arial"/>
                <w:szCs w:val="20"/>
              </w:rPr>
            </w:pPr>
            <w:r w:rsidRPr="00112EF7">
              <w:rPr>
                <w:rFonts w:ascii="Arial" w:hAnsi="Arial" w:cs="Arial"/>
                <w:szCs w:val="20"/>
              </w:rPr>
              <w:t>The proposal will deliver a suite of open spaces and form part of a more integrated open space network for the Moorebank area.</w:t>
            </w:r>
          </w:p>
        </w:tc>
      </w:tr>
      <w:tr w:rsidR="00B76734" w14:paraId="48329FD2" w14:textId="77777777" w:rsidTr="00B76734">
        <w:tc>
          <w:tcPr>
            <w:tcW w:w="2410" w:type="dxa"/>
            <w:shd w:val="clear" w:color="auto" w:fill="DDD0ED" w:themeFill="text1" w:themeFillTint="33"/>
          </w:tcPr>
          <w:p w14:paraId="6656CD71" w14:textId="3AE7A508" w:rsidR="00B76734" w:rsidRPr="00B76734" w:rsidRDefault="00B76734" w:rsidP="00B76734">
            <w:pPr>
              <w:pStyle w:val="Table-Text"/>
              <w:rPr>
                <w:rFonts w:ascii="Arial" w:hAnsi="Arial" w:cs="Arial"/>
                <w:szCs w:val="20"/>
              </w:rPr>
            </w:pPr>
            <w:r>
              <w:rPr>
                <w:rFonts w:ascii="Arial" w:hAnsi="Arial" w:cs="Arial"/>
                <w:szCs w:val="20"/>
              </w:rPr>
              <w:t xml:space="preserve">8. </w:t>
            </w:r>
            <w:r w:rsidRPr="00112EF7">
              <w:rPr>
                <w:rFonts w:ascii="Arial" w:hAnsi="Arial" w:cs="Arial"/>
                <w:szCs w:val="20"/>
              </w:rPr>
              <w:t xml:space="preserve">Capitalise on Western Sydney Airport and the Western Sydney City Deal </w:t>
            </w:r>
          </w:p>
        </w:tc>
        <w:tc>
          <w:tcPr>
            <w:tcW w:w="7081" w:type="dxa"/>
            <w:shd w:val="clear" w:color="auto" w:fill="DDD0ED" w:themeFill="text1" w:themeFillTint="33"/>
          </w:tcPr>
          <w:p w14:paraId="2B14634F" w14:textId="4E51BBC4"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capitalises on the opportunities presented by the Western Sydney City Deal and Western City Airport by providing a catalyst for urban regeneration east of Liverpool CBD and strengthening its prominence as Sydney’s third CBD. </w:t>
            </w:r>
          </w:p>
        </w:tc>
      </w:tr>
      <w:tr w:rsidR="00B76734" w14:paraId="0D180C6A" w14:textId="77777777" w:rsidTr="00B76734">
        <w:tc>
          <w:tcPr>
            <w:tcW w:w="2410" w:type="dxa"/>
            <w:shd w:val="clear" w:color="auto" w:fill="DDD0ED" w:themeFill="text1" w:themeFillTint="33"/>
          </w:tcPr>
          <w:p w14:paraId="592A1820" w14:textId="04BEE47E" w:rsidR="00B76734" w:rsidRPr="00B76734" w:rsidRDefault="00B76734" w:rsidP="00B76734">
            <w:pPr>
              <w:pStyle w:val="Table-Text"/>
              <w:rPr>
                <w:rFonts w:ascii="Arial" w:hAnsi="Arial" w:cs="Arial"/>
                <w:szCs w:val="20"/>
              </w:rPr>
            </w:pPr>
            <w:r>
              <w:rPr>
                <w:rFonts w:ascii="Arial" w:hAnsi="Arial" w:cs="Arial"/>
                <w:szCs w:val="20"/>
              </w:rPr>
              <w:t xml:space="preserve">9. </w:t>
            </w:r>
            <w:r w:rsidRPr="00112EF7">
              <w:rPr>
                <w:rFonts w:ascii="Arial" w:hAnsi="Arial" w:cs="Arial"/>
                <w:szCs w:val="20"/>
              </w:rPr>
              <w:t xml:space="preserve">Revitalise Liverpool CBD </w:t>
            </w:r>
          </w:p>
        </w:tc>
        <w:tc>
          <w:tcPr>
            <w:tcW w:w="7081" w:type="dxa"/>
            <w:shd w:val="clear" w:color="auto" w:fill="DDD0ED" w:themeFill="text1" w:themeFillTint="33"/>
          </w:tcPr>
          <w:p w14:paraId="184C9D37" w14:textId="77777777" w:rsidR="00B76734" w:rsidRPr="00112EF7" w:rsidRDefault="00B76734" w:rsidP="00B76734">
            <w:pPr>
              <w:pStyle w:val="Table-Text"/>
              <w:rPr>
                <w:rFonts w:ascii="Arial" w:hAnsi="Arial" w:cs="Arial"/>
                <w:szCs w:val="20"/>
              </w:rPr>
            </w:pPr>
            <w:r w:rsidRPr="00112EF7">
              <w:rPr>
                <w:rFonts w:ascii="Arial" w:hAnsi="Arial" w:cs="Arial"/>
                <w:szCs w:val="20"/>
              </w:rPr>
              <w:t xml:space="preserve">The proposal will rebalance Liverpool CBD towards the Georges River, which has been a clear objective of Council and Government for land east of the Georges River. </w:t>
            </w:r>
          </w:p>
          <w:p w14:paraId="3EEC5F7D" w14:textId="4E37F86F"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will complement the revitalisation of Liverpool CBD by increasing residential and non-residential uses in tandem with new open space and infrastructure improvements.   </w:t>
            </w:r>
          </w:p>
        </w:tc>
      </w:tr>
      <w:tr w:rsidR="00B76734" w14:paraId="5E3E34E3" w14:textId="77777777" w:rsidTr="00B76734">
        <w:tc>
          <w:tcPr>
            <w:tcW w:w="2410" w:type="dxa"/>
            <w:shd w:val="clear" w:color="auto" w:fill="DDD0ED" w:themeFill="text1" w:themeFillTint="33"/>
          </w:tcPr>
          <w:p w14:paraId="6EA0F55A" w14:textId="2CA76151" w:rsidR="00B76734" w:rsidRPr="00B76734" w:rsidRDefault="00B76734" w:rsidP="00B76734">
            <w:pPr>
              <w:pStyle w:val="Table-Text"/>
              <w:rPr>
                <w:rFonts w:ascii="Arial" w:hAnsi="Arial" w:cs="Arial"/>
                <w:szCs w:val="20"/>
              </w:rPr>
            </w:pPr>
            <w:r>
              <w:rPr>
                <w:rFonts w:ascii="Arial" w:hAnsi="Arial" w:cs="Arial"/>
                <w:szCs w:val="20"/>
              </w:rPr>
              <w:lastRenderedPageBreak/>
              <w:t xml:space="preserve">10. </w:t>
            </w:r>
            <w:r w:rsidRPr="00112EF7">
              <w:rPr>
                <w:rFonts w:ascii="Arial" w:hAnsi="Arial" w:cs="Arial"/>
                <w:szCs w:val="20"/>
              </w:rPr>
              <w:t>Examine flooding issues and water management</w:t>
            </w:r>
          </w:p>
        </w:tc>
        <w:tc>
          <w:tcPr>
            <w:tcW w:w="7081" w:type="dxa"/>
            <w:shd w:val="clear" w:color="auto" w:fill="DDD0ED" w:themeFill="text1" w:themeFillTint="33"/>
          </w:tcPr>
          <w:p w14:paraId="2FF17C66" w14:textId="3D011414"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has considered flooding on the site and has demonstrated that development of the land </w:t>
            </w:r>
            <w:r>
              <w:rPr>
                <w:rFonts w:ascii="Arial" w:hAnsi="Arial" w:cs="Arial"/>
                <w:szCs w:val="20"/>
              </w:rPr>
              <w:t>may</w:t>
            </w:r>
            <w:r w:rsidRPr="00112EF7">
              <w:rPr>
                <w:rFonts w:ascii="Arial" w:hAnsi="Arial" w:cs="Arial"/>
                <w:szCs w:val="20"/>
              </w:rPr>
              <w:t xml:space="preserve"> proceed in a manner that </w:t>
            </w:r>
            <w:r>
              <w:rPr>
                <w:rFonts w:ascii="Arial" w:hAnsi="Arial" w:cs="Arial"/>
                <w:szCs w:val="20"/>
              </w:rPr>
              <w:t>should</w:t>
            </w:r>
            <w:r w:rsidRPr="00112EF7">
              <w:rPr>
                <w:rFonts w:ascii="Arial" w:hAnsi="Arial" w:cs="Arial"/>
                <w:szCs w:val="20"/>
              </w:rPr>
              <w:t xml:space="preserve"> not result in increased flooding either on or off the site. </w:t>
            </w:r>
          </w:p>
        </w:tc>
      </w:tr>
      <w:tr w:rsidR="00B76734" w14:paraId="6E0F8A21" w14:textId="77777777" w:rsidTr="00B76734">
        <w:tc>
          <w:tcPr>
            <w:tcW w:w="2410" w:type="dxa"/>
            <w:shd w:val="clear" w:color="auto" w:fill="DDD0ED" w:themeFill="text1" w:themeFillTint="33"/>
          </w:tcPr>
          <w:p w14:paraId="62F1CE61" w14:textId="089AD3F7" w:rsidR="00B76734" w:rsidRPr="00B76734" w:rsidRDefault="00B76734" w:rsidP="00B76734">
            <w:pPr>
              <w:pStyle w:val="Table-Text"/>
              <w:rPr>
                <w:rFonts w:ascii="Arial" w:hAnsi="Arial" w:cs="Arial"/>
                <w:szCs w:val="20"/>
              </w:rPr>
            </w:pPr>
            <w:r>
              <w:rPr>
                <w:rFonts w:ascii="Arial" w:hAnsi="Arial" w:cs="Arial"/>
                <w:szCs w:val="20"/>
              </w:rPr>
              <w:t xml:space="preserve">11. </w:t>
            </w:r>
            <w:r w:rsidRPr="00112EF7">
              <w:rPr>
                <w:rFonts w:ascii="Arial" w:hAnsi="Arial" w:cs="Arial"/>
                <w:szCs w:val="20"/>
              </w:rPr>
              <w:t xml:space="preserve">Consider the opportunities presented by the Liverpool Water Recycling Facility </w:t>
            </w:r>
          </w:p>
        </w:tc>
        <w:tc>
          <w:tcPr>
            <w:tcW w:w="7081" w:type="dxa"/>
            <w:shd w:val="clear" w:color="auto" w:fill="DDD0ED" w:themeFill="text1" w:themeFillTint="33"/>
          </w:tcPr>
          <w:p w14:paraId="7187492F" w14:textId="48EA3002"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does not interfere with the Liverpool Water Recycling Facility. </w:t>
            </w:r>
            <w:r w:rsidR="0045630D">
              <w:rPr>
                <w:rFonts w:ascii="Arial" w:hAnsi="Arial" w:cs="Arial"/>
                <w:szCs w:val="20"/>
              </w:rPr>
              <w:t>Further discussion will occur regarding the potential for using recycled water.</w:t>
            </w:r>
          </w:p>
        </w:tc>
      </w:tr>
      <w:tr w:rsidR="0080639E" w14:paraId="3C59800E" w14:textId="77777777" w:rsidTr="003606ED">
        <w:tc>
          <w:tcPr>
            <w:tcW w:w="9491" w:type="dxa"/>
            <w:gridSpan w:val="2"/>
            <w:shd w:val="clear" w:color="auto" w:fill="9B73CA" w:themeFill="text1" w:themeFillTint="99"/>
          </w:tcPr>
          <w:p w14:paraId="5C0EBC45" w14:textId="316D619F" w:rsidR="0080639E" w:rsidRPr="0080639E" w:rsidRDefault="0080639E" w:rsidP="00B76734">
            <w:pPr>
              <w:pStyle w:val="Table-Text"/>
              <w:rPr>
                <w:rFonts w:ascii="Arial" w:hAnsi="Arial" w:cs="Arial"/>
                <w:b/>
                <w:bCs/>
                <w:szCs w:val="20"/>
              </w:rPr>
            </w:pPr>
            <w:r w:rsidRPr="0080639E">
              <w:rPr>
                <w:rFonts w:ascii="Arial" w:hAnsi="Arial" w:cs="Arial"/>
                <w:b/>
                <w:bCs/>
                <w:szCs w:val="20"/>
              </w:rPr>
              <w:t>Actions for Liverpool</w:t>
            </w:r>
          </w:p>
        </w:tc>
      </w:tr>
      <w:tr w:rsidR="00B76734" w14:paraId="438F1E1F" w14:textId="77777777" w:rsidTr="00B76734">
        <w:tc>
          <w:tcPr>
            <w:tcW w:w="2410" w:type="dxa"/>
            <w:shd w:val="clear" w:color="auto" w:fill="DDD0ED" w:themeFill="text1" w:themeFillTint="33"/>
          </w:tcPr>
          <w:p w14:paraId="65331024" w14:textId="5100B1D1" w:rsidR="00B76734" w:rsidRPr="00B76734" w:rsidRDefault="0080639E" w:rsidP="00B76734">
            <w:pPr>
              <w:pStyle w:val="Table-Text"/>
              <w:rPr>
                <w:rFonts w:ascii="Arial" w:hAnsi="Arial" w:cs="Arial"/>
                <w:szCs w:val="20"/>
              </w:rPr>
            </w:pPr>
            <w:r>
              <w:rPr>
                <w:rFonts w:ascii="Arial" w:hAnsi="Arial" w:cs="Arial"/>
                <w:szCs w:val="20"/>
              </w:rPr>
              <w:t xml:space="preserve">a) </w:t>
            </w:r>
            <w:r w:rsidR="00B76734" w:rsidRPr="00112EF7">
              <w:rPr>
                <w:rFonts w:ascii="Arial" w:hAnsi="Arial" w:cs="Arial"/>
                <w:szCs w:val="20"/>
              </w:rPr>
              <w:t>Protect and develop the commercial core</w:t>
            </w:r>
          </w:p>
        </w:tc>
        <w:tc>
          <w:tcPr>
            <w:tcW w:w="7081" w:type="dxa"/>
            <w:shd w:val="clear" w:color="auto" w:fill="DDD0ED" w:themeFill="text1" w:themeFillTint="33"/>
          </w:tcPr>
          <w:p w14:paraId="72FF3487" w14:textId="2A624981" w:rsidR="00B76734" w:rsidRPr="00B76734" w:rsidRDefault="00B76734" w:rsidP="00B76734">
            <w:pPr>
              <w:pStyle w:val="Table-Text"/>
              <w:rPr>
                <w:rFonts w:ascii="Arial" w:hAnsi="Arial" w:cs="Arial"/>
                <w:szCs w:val="20"/>
              </w:rPr>
            </w:pPr>
            <w:r w:rsidRPr="00112EF7">
              <w:rPr>
                <w:rFonts w:ascii="Arial" w:hAnsi="Arial" w:cs="Arial"/>
                <w:szCs w:val="20"/>
              </w:rPr>
              <w:t>The proposal will strengthen the critical mass available to Liverpool’s commercial core, by providing for new residential communities that require access to goods and services in Liverpool CBD. It will aim to provide uses that are complementary to the CBD.</w:t>
            </w:r>
          </w:p>
        </w:tc>
      </w:tr>
      <w:tr w:rsidR="00B76734" w14:paraId="7BD65CC9" w14:textId="77777777" w:rsidTr="00B76734">
        <w:tc>
          <w:tcPr>
            <w:tcW w:w="2410" w:type="dxa"/>
            <w:shd w:val="clear" w:color="auto" w:fill="DDD0ED" w:themeFill="text1" w:themeFillTint="33"/>
          </w:tcPr>
          <w:p w14:paraId="6483677F" w14:textId="6E43B0F5" w:rsidR="00B76734" w:rsidRPr="00B76734" w:rsidRDefault="0080639E" w:rsidP="00B76734">
            <w:pPr>
              <w:pStyle w:val="Table-Text"/>
              <w:rPr>
                <w:rFonts w:ascii="Arial" w:hAnsi="Arial" w:cs="Arial"/>
                <w:szCs w:val="20"/>
              </w:rPr>
            </w:pPr>
            <w:r>
              <w:rPr>
                <w:rFonts w:ascii="Arial" w:hAnsi="Arial" w:cs="Arial"/>
                <w:szCs w:val="20"/>
              </w:rPr>
              <w:t xml:space="preserve">b) </w:t>
            </w:r>
            <w:r w:rsidR="00B76734" w:rsidRPr="00112EF7">
              <w:rPr>
                <w:rFonts w:ascii="Arial" w:hAnsi="Arial" w:cs="Arial"/>
                <w:szCs w:val="20"/>
              </w:rPr>
              <w:t>Improve and coordinate transport and other infrastructure to support jobs growth</w:t>
            </w:r>
          </w:p>
        </w:tc>
        <w:tc>
          <w:tcPr>
            <w:tcW w:w="7081" w:type="dxa"/>
            <w:shd w:val="clear" w:color="auto" w:fill="DDD0ED" w:themeFill="text1" w:themeFillTint="33"/>
          </w:tcPr>
          <w:p w14:paraId="0672C378" w14:textId="77777777" w:rsidR="00B76734" w:rsidRPr="00112EF7" w:rsidRDefault="00B76734" w:rsidP="00B76734">
            <w:pPr>
              <w:pStyle w:val="Table-Text"/>
              <w:rPr>
                <w:rFonts w:ascii="Arial" w:hAnsi="Arial" w:cs="Arial"/>
                <w:szCs w:val="20"/>
              </w:rPr>
            </w:pPr>
            <w:r w:rsidRPr="00112EF7">
              <w:rPr>
                <w:rFonts w:ascii="Arial" w:hAnsi="Arial" w:cs="Arial"/>
                <w:szCs w:val="20"/>
              </w:rPr>
              <w:t xml:space="preserve">The proposal will provide new active transport options across the site, acting as a catalyst for wider regional active transport links to the CBD. </w:t>
            </w:r>
          </w:p>
          <w:p w14:paraId="202663FB" w14:textId="7BC186F7" w:rsidR="00B76734" w:rsidRPr="00B76734" w:rsidRDefault="00B76734" w:rsidP="00B76734">
            <w:pPr>
              <w:pStyle w:val="Table-Text"/>
              <w:rPr>
                <w:rFonts w:ascii="Arial" w:hAnsi="Arial" w:cs="Arial"/>
                <w:szCs w:val="20"/>
              </w:rPr>
            </w:pPr>
            <w:r w:rsidRPr="00112EF7">
              <w:rPr>
                <w:rFonts w:ascii="Arial" w:hAnsi="Arial" w:cs="Arial"/>
                <w:szCs w:val="20"/>
              </w:rPr>
              <w:t xml:space="preserve">The proposal will provide new bridge crossings over the Georges River to Liverpool CBD and Train Station, ensuring new residents have access to services and employment. </w:t>
            </w:r>
          </w:p>
        </w:tc>
      </w:tr>
      <w:tr w:rsidR="00933190" w14:paraId="47B40315" w14:textId="77777777" w:rsidTr="00B76734">
        <w:tc>
          <w:tcPr>
            <w:tcW w:w="2410" w:type="dxa"/>
            <w:shd w:val="clear" w:color="auto" w:fill="DDD0ED" w:themeFill="text1" w:themeFillTint="33"/>
          </w:tcPr>
          <w:p w14:paraId="69B28B98" w14:textId="416F8E98" w:rsidR="00933190" w:rsidRPr="003606ED" w:rsidRDefault="00933190" w:rsidP="003606ED">
            <w:pPr>
              <w:pStyle w:val="Table-Text"/>
              <w:rPr>
                <w:rFonts w:ascii="Arial" w:hAnsi="Arial" w:cs="Arial"/>
                <w:szCs w:val="20"/>
              </w:rPr>
            </w:pPr>
            <w:r>
              <w:rPr>
                <w:rFonts w:ascii="Arial" w:hAnsi="Arial" w:cs="Arial"/>
                <w:szCs w:val="20"/>
              </w:rPr>
              <w:t xml:space="preserve">c) </w:t>
            </w:r>
            <w:r w:rsidRPr="00112EF7">
              <w:rPr>
                <w:rFonts w:ascii="Arial" w:hAnsi="Arial" w:cs="Arial"/>
                <w:szCs w:val="20"/>
              </w:rPr>
              <w:t>Develop smart jobs around the health and education precinct</w:t>
            </w:r>
          </w:p>
        </w:tc>
        <w:tc>
          <w:tcPr>
            <w:tcW w:w="7081" w:type="dxa"/>
            <w:shd w:val="clear" w:color="auto" w:fill="DDD0ED" w:themeFill="text1" w:themeFillTint="33"/>
          </w:tcPr>
          <w:p w14:paraId="01A23ABD" w14:textId="53AAD065" w:rsidR="00933190" w:rsidRDefault="00933190" w:rsidP="00933190">
            <w:pPr>
              <w:autoSpaceDE w:val="0"/>
              <w:autoSpaceDN w:val="0"/>
              <w:adjustRightInd w:val="0"/>
              <w:rPr>
                <w:rFonts w:ascii="ArialMT" w:hAnsi="ArialMT" w:cs="ArialMT"/>
              </w:rPr>
            </w:pPr>
            <w:r w:rsidRPr="00112EF7">
              <w:rPr>
                <w:rFonts w:ascii="Arial" w:hAnsi="Arial" w:cs="Arial"/>
                <w:sz w:val="20"/>
                <w:szCs w:val="20"/>
              </w:rPr>
              <w:t xml:space="preserve">The proposal will provide for new higher order commercial uses on the site through the B4 Mixed Use and B6 Enterprise Corridor Zone. </w:t>
            </w:r>
          </w:p>
        </w:tc>
      </w:tr>
      <w:tr w:rsidR="00933190" w14:paraId="5B59CF85" w14:textId="77777777" w:rsidTr="00B76734">
        <w:tc>
          <w:tcPr>
            <w:tcW w:w="2410" w:type="dxa"/>
            <w:shd w:val="clear" w:color="auto" w:fill="DDD0ED" w:themeFill="text1" w:themeFillTint="33"/>
          </w:tcPr>
          <w:p w14:paraId="5FE70CBA" w14:textId="6FD78CC5" w:rsidR="00933190" w:rsidRPr="003606ED" w:rsidRDefault="00933190" w:rsidP="003606ED">
            <w:pPr>
              <w:pStyle w:val="Table-Text"/>
              <w:rPr>
                <w:rFonts w:ascii="Arial" w:hAnsi="Arial" w:cs="Arial"/>
                <w:szCs w:val="20"/>
              </w:rPr>
            </w:pPr>
            <w:r>
              <w:rPr>
                <w:rFonts w:ascii="Arial" w:hAnsi="Arial" w:cs="Arial"/>
                <w:szCs w:val="20"/>
              </w:rPr>
              <w:t xml:space="preserve">d) </w:t>
            </w:r>
            <w:r w:rsidRPr="00112EF7">
              <w:rPr>
                <w:rFonts w:ascii="Arial" w:hAnsi="Arial" w:cs="Arial"/>
                <w:szCs w:val="20"/>
              </w:rPr>
              <w:t xml:space="preserve">Build on the centre’s administrative and civic role </w:t>
            </w:r>
          </w:p>
        </w:tc>
        <w:tc>
          <w:tcPr>
            <w:tcW w:w="7081" w:type="dxa"/>
            <w:shd w:val="clear" w:color="auto" w:fill="DDD0ED" w:themeFill="text1" w:themeFillTint="33"/>
          </w:tcPr>
          <w:p w14:paraId="3DE0278B" w14:textId="17FF537A" w:rsidR="00933190" w:rsidRDefault="00933190" w:rsidP="00933190">
            <w:pPr>
              <w:autoSpaceDE w:val="0"/>
              <w:autoSpaceDN w:val="0"/>
              <w:adjustRightInd w:val="0"/>
              <w:rPr>
                <w:rFonts w:ascii="ArialMT" w:hAnsi="ArialMT" w:cs="ArialMT"/>
              </w:rPr>
            </w:pPr>
            <w:r w:rsidRPr="00112EF7">
              <w:rPr>
                <w:rFonts w:ascii="Arial" w:hAnsi="Arial" w:cs="Arial"/>
                <w:sz w:val="20"/>
                <w:szCs w:val="20"/>
              </w:rPr>
              <w:t>The proposal does not undermine Liverpool’s administrative and civic role.</w:t>
            </w:r>
          </w:p>
        </w:tc>
      </w:tr>
      <w:tr w:rsidR="00933190" w14:paraId="4A8E9FB8" w14:textId="77777777" w:rsidTr="00B76734">
        <w:tc>
          <w:tcPr>
            <w:tcW w:w="2410" w:type="dxa"/>
            <w:shd w:val="clear" w:color="auto" w:fill="DDD0ED" w:themeFill="text1" w:themeFillTint="33"/>
          </w:tcPr>
          <w:p w14:paraId="1F7AFADC" w14:textId="1F17BEF6" w:rsidR="00933190" w:rsidRPr="003606ED" w:rsidRDefault="00933190" w:rsidP="003606ED">
            <w:pPr>
              <w:pStyle w:val="Table-Text"/>
              <w:rPr>
                <w:rFonts w:ascii="Arial" w:hAnsi="Arial" w:cs="Arial"/>
                <w:szCs w:val="20"/>
              </w:rPr>
            </w:pPr>
            <w:r>
              <w:rPr>
                <w:rFonts w:ascii="Arial" w:hAnsi="Arial" w:cs="Arial"/>
                <w:szCs w:val="20"/>
              </w:rPr>
              <w:t xml:space="preserve">e) </w:t>
            </w:r>
            <w:r w:rsidRPr="00112EF7">
              <w:rPr>
                <w:rFonts w:ascii="Arial" w:hAnsi="Arial" w:cs="Arial"/>
                <w:szCs w:val="20"/>
              </w:rPr>
              <w:t>Improve public domain including tree-lined, comfortable open spaces and outdoor dining</w:t>
            </w:r>
          </w:p>
        </w:tc>
        <w:tc>
          <w:tcPr>
            <w:tcW w:w="7081" w:type="dxa"/>
            <w:shd w:val="clear" w:color="auto" w:fill="DDD0ED" w:themeFill="text1" w:themeFillTint="33"/>
          </w:tcPr>
          <w:p w14:paraId="4BF67FB8" w14:textId="1677D5B0" w:rsidR="00933190" w:rsidRPr="0045630D" w:rsidRDefault="00933190" w:rsidP="0045630D">
            <w:pPr>
              <w:pStyle w:val="Table-Text"/>
              <w:rPr>
                <w:rFonts w:ascii="Arial" w:hAnsi="Arial" w:cs="Arial"/>
                <w:szCs w:val="20"/>
              </w:rPr>
            </w:pPr>
            <w:r w:rsidRPr="00112EF7">
              <w:rPr>
                <w:rFonts w:ascii="Arial" w:hAnsi="Arial" w:cs="Arial"/>
                <w:szCs w:val="20"/>
              </w:rPr>
              <w:t>The site has traditionally operated for uses that does not require consideration of the public domain, street trees, open spaces and outdoor dining.</w:t>
            </w:r>
            <w:r w:rsidR="0045630D">
              <w:rPr>
                <w:rFonts w:ascii="Arial" w:hAnsi="Arial" w:cs="Arial"/>
                <w:szCs w:val="20"/>
              </w:rPr>
              <w:t xml:space="preserve"> </w:t>
            </w:r>
            <w:r w:rsidRPr="00112EF7">
              <w:rPr>
                <w:rFonts w:ascii="Arial" w:hAnsi="Arial" w:cs="Arial"/>
                <w:szCs w:val="20"/>
              </w:rPr>
              <w:t>The proposal will facilitate transformation of the site for mixed use purposes, ensuring open space, tree plantings and active frontages are introduced to promote the public domain.</w:t>
            </w:r>
          </w:p>
        </w:tc>
      </w:tr>
      <w:tr w:rsidR="00933190" w14:paraId="0E3ECD6A" w14:textId="77777777" w:rsidTr="00B76734">
        <w:tc>
          <w:tcPr>
            <w:tcW w:w="2410" w:type="dxa"/>
            <w:shd w:val="clear" w:color="auto" w:fill="DDD0ED" w:themeFill="text1" w:themeFillTint="33"/>
          </w:tcPr>
          <w:p w14:paraId="5C922292" w14:textId="785EAF41" w:rsidR="00933190" w:rsidRPr="003606ED" w:rsidRDefault="00933190" w:rsidP="003606ED">
            <w:pPr>
              <w:pStyle w:val="Table-Text"/>
              <w:rPr>
                <w:rFonts w:ascii="Arial" w:hAnsi="Arial" w:cs="Arial"/>
                <w:szCs w:val="20"/>
              </w:rPr>
            </w:pPr>
            <w:r>
              <w:rPr>
                <w:rFonts w:ascii="Arial" w:hAnsi="Arial" w:cs="Arial"/>
                <w:szCs w:val="20"/>
              </w:rPr>
              <w:t xml:space="preserve">f) </w:t>
            </w:r>
            <w:r w:rsidRPr="00112EF7">
              <w:rPr>
                <w:rFonts w:ascii="Arial" w:hAnsi="Arial" w:cs="Arial"/>
                <w:szCs w:val="20"/>
              </w:rPr>
              <w:t>Improve connectivity and links to the Georges River and prioritise pedestrian, cycle and public transport facilities</w:t>
            </w:r>
          </w:p>
        </w:tc>
        <w:tc>
          <w:tcPr>
            <w:tcW w:w="7081" w:type="dxa"/>
            <w:shd w:val="clear" w:color="auto" w:fill="DDD0ED" w:themeFill="text1" w:themeFillTint="33"/>
          </w:tcPr>
          <w:p w14:paraId="6D4514E0" w14:textId="5BD6BC46" w:rsidR="00933190" w:rsidRDefault="00933190" w:rsidP="00933190">
            <w:pPr>
              <w:autoSpaceDE w:val="0"/>
              <w:autoSpaceDN w:val="0"/>
              <w:adjustRightInd w:val="0"/>
              <w:rPr>
                <w:rFonts w:ascii="ArialMT" w:hAnsi="ArialMT" w:cs="ArialMT"/>
              </w:rPr>
            </w:pPr>
            <w:r w:rsidRPr="00112EF7">
              <w:rPr>
                <w:rFonts w:ascii="Arial" w:hAnsi="Arial" w:cs="Arial"/>
                <w:sz w:val="20"/>
                <w:szCs w:val="20"/>
              </w:rPr>
              <w:t xml:space="preserve">The proposal will provide cycle links along the Georges River foreshore and pedestrian links to Liverpool CBD and Train Station.  </w:t>
            </w:r>
          </w:p>
        </w:tc>
      </w:tr>
      <w:tr w:rsidR="00933190" w14:paraId="224DB52C" w14:textId="77777777" w:rsidTr="00B76734">
        <w:tc>
          <w:tcPr>
            <w:tcW w:w="2410" w:type="dxa"/>
            <w:shd w:val="clear" w:color="auto" w:fill="DDD0ED" w:themeFill="text1" w:themeFillTint="33"/>
          </w:tcPr>
          <w:p w14:paraId="1A5B0EB0" w14:textId="5D5696D3" w:rsidR="00933190" w:rsidRPr="003606ED" w:rsidRDefault="00933190" w:rsidP="003606ED">
            <w:pPr>
              <w:pStyle w:val="Table-Text"/>
              <w:rPr>
                <w:rFonts w:ascii="Arial" w:hAnsi="Arial" w:cs="Arial"/>
                <w:szCs w:val="20"/>
              </w:rPr>
            </w:pPr>
            <w:r>
              <w:rPr>
                <w:rFonts w:ascii="Arial" w:hAnsi="Arial" w:cs="Arial"/>
                <w:szCs w:val="20"/>
              </w:rPr>
              <w:t xml:space="preserve">g) </w:t>
            </w:r>
            <w:r w:rsidRPr="00112EF7">
              <w:rPr>
                <w:rFonts w:ascii="Arial" w:hAnsi="Arial" w:cs="Arial"/>
                <w:szCs w:val="20"/>
              </w:rPr>
              <w:t xml:space="preserve">Encourage vibrant mix of uses, new lifestyle and entertainment uses to activate streets and </w:t>
            </w:r>
            <w:r w:rsidRPr="00112EF7">
              <w:rPr>
                <w:rFonts w:ascii="Arial" w:hAnsi="Arial" w:cs="Arial"/>
                <w:szCs w:val="20"/>
              </w:rPr>
              <w:lastRenderedPageBreak/>
              <w:t xml:space="preserve">grow the night-time economy </w:t>
            </w:r>
          </w:p>
        </w:tc>
        <w:tc>
          <w:tcPr>
            <w:tcW w:w="7081" w:type="dxa"/>
            <w:shd w:val="clear" w:color="auto" w:fill="DDD0ED" w:themeFill="text1" w:themeFillTint="33"/>
          </w:tcPr>
          <w:p w14:paraId="549060D4" w14:textId="77777777" w:rsidR="00933190" w:rsidRPr="00112EF7" w:rsidRDefault="00933190" w:rsidP="00933190">
            <w:pPr>
              <w:pStyle w:val="Table-Text"/>
              <w:rPr>
                <w:rFonts w:ascii="Arial" w:hAnsi="Arial" w:cs="Arial"/>
                <w:szCs w:val="20"/>
              </w:rPr>
            </w:pPr>
            <w:r w:rsidRPr="00112EF7">
              <w:rPr>
                <w:rFonts w:ascii="Arial" w:hAnsi="Arial" w:cs="Arial"/>
                <w:szCs w:val="20"/>
              </w:rPr>
              <w:lastRenderedPageBreak/>
              <w:t xml:space="preserve">The current planning controls and controls only allow for more intensive employment related uses and do not encourage a vibrant mix of lifestyle and entertainment uses. </w:t>
            </w:r>
          </w:p>
          <w:p w14:paraId="324F2BBD" w14:textId="41DF8AEB" w:rsidR="00933190" w:rsidRDefault="00933190" w:rsidP="00933190">
            <w:pPr>
              <w:autoSpaceDE w:val="0"/>
              <w:autoSpaceDN w:val="0"/>
              <w:adjustRightInd w:val="0"/>
              <w:rPr>
                <w:rFonts w:ascii="ArialMT" w:hAnsi="ArialMT" w:cs="ArialMT"/>
              </w:rPr>
            </w:pPr>
            <w:r w:rsidRPr="00112EF7">
              <w:rPr>
                <w:rFonts w:ascii="Arial" w:hAnsi="Arial" w:cs="Arial"/>
                <w:sz w:val="20"/>
                <w:szCs w:val="20"/>
              </w:rPr>
              <w:t xml:space="preserve">The proposal will facilitate a mixed-use precinct consistent with the vision of the Georges River North Precinct. </w:t>
            </w:r>
          </w:p>
        </w:tc>
      </w:tr>
      <w:tr w:rsidR="00933190" w14:paraId="2C58D8AD" w14:textId="77777777" w:rsidTr="00B76734">
        <w:tc>
          <w:tcPr>
            <w:tcW w:w="2410" w:type="dxa"/>
            <w:shd w:val="clear" w:color="auto" w:fill="DDD0ED" w:themeFill="text1" w:themeFillTint="33"/>
          </w:tcPr>
          <w:p w14:paraId="1A2C25B7" w14:textId="53C4AC8E" w:rsidR="00933190" w:rsidRPr="003606ED" w:rsidRDefault="00933190" w:rsidP="003606ED">
            <w:pPr>
              <w:pStyle w:val="Table-Text"/>
              <w:rPr>
                <w:rFonts w:ascii="Arial" w:hAnsi="Arial" w:cs="Arial"/>
                <w:szCs w:val="20"/>
              </w:rPr>
            </w:pPr>
            <w:r>
              <w:rPr>
                <w:rFonts w:ascii="Arial" w:hAnsi="Arial" w:cs="Arial"/>
                <w:szCs w:val="20"/>
              </w:rPr>
              <w:t xml:space="preserve">h) </w:t>
            </w:r>
            <w:r w:rsidRPr="00112EF7">
              <w:rPr>
                <w:rFonts w:ascii="Arial" w:hAnsi="Arial" w:cs="Arial"/>
                <w:szCs w:val="20"/>
              </w:rPr>
              <w:t xml:space="preserve">Capitalise on the Western Sydney Airport and Western Sydney City Deal initiatives </w:t>
            </w:r>
          </w:p>
        </w:tc>
        <w:tc>
          <w:tcPr>
            <w:tcW w:w="7081" w:type="dxa"/>
            <w:shd w:val="clear" w:color="auto" w:fill="DDD0ED" w:themeFill="text1" w:themeFillTint="33"/>
          </w:tcPr>
          <w:p w14:paraId="55A46E38" w14:textId="77777777" w:rsidR="00933190" w:rsidRPr="00112EF7" w:rsidRDefault="00933190" w:rsidP="00933190">
            <w:pPr>
              <w:pStyle w:val="Table-Text"/>
              <w:rPr>
                <w:rFonts w:ascii="Arial" w:hAnsi="Arial" w:cs="Arial"/>
                <w:szCs w:val="20"/>
              </w:rPr>
            </w:pPr>
            <w:r w:rsidRPr="00112EF7">
              <w:rPr>
                <w:rFonts w:ascii="Arial" w:hAnsi="Arial" w:cs="Arial"/>
                <w:szCs w:val="20"/>
              </w:rPr>
              <w:t xml:space="preserve">The proposal capitalises on the Western Sydney Airport and Sydney City Deal by reinforcing the role of Liverpool as a major centre in Western Sydney. </w:t>
            </w:r>
          </w:p>
          <w:p w14:paraId="2AAF90F5" w14:textId="20253E86" w:rsidR="00933190" w:rsidRDefault="00933190" w:rsidP="00933190">
            <w:pPr>
              <w:autoSpaceDE w:val="0"/>
              <w:autoSpaceDN w:val="0"/>
              <w:adjustRightInd w:val="0"/>
              <w:rPr>
                <w:rFonts w:ascii="ArialMT" w:hAnsi="ArialMT" w:cs="ArialMT"/>
              </w:rPr>
            </w:pPr>
            <w:r w:rsidRPr="00112EF7">
              <w:rPr>
                <w:rFonts w:ascii="Arial" w:hAnsi="Arial" w:cs="Arial"/>
                <w:sz w:val="20"/>
                <w:szCs w:val="20"/>
              </w:rPr>
              <w:t xml:space="preserve">The FAST Corridor will also ensure future residents can access the Western Sydney Aerotropolis, increasing job accessibility. </w:t>
            </w:r>
          </w:p>
        </w:tc>
      </w:tr>
    </w:tbl>
    <w:p w14:paraId="77F4681F" w14:textId="77777777" w:rsidR="003606ED" w:rsidRDefault="003606ED" w:rsidP="00057B35">
      <w:pPr>
        <w:jc w:val="both"/>
        <w:rPr>
          <w:rFonts w:ascii="Arial" w:eastAsiaTheme="minorEastAsia" w:hAnsi="Arial" w:cs="Arial"/>
          <w:bCs/>
          <w:i/>
          <w:iCs/>
          <w:color w:val="7030A0"/>
          <w:sz w:val="20"/>
          <w:lang w:val="en-AU" w:eastAsia="ja-JP"/>
        </w:rPr>
      </w:pPr>
    </w:p>
    <w:p w14:paraId="6051775D" w14:textId="77C91340" w:rsidR="00BC45CB" w:rsidRPr="00397660" w:rsidRDefault="00BC45CB" w:rsidP="00057B35">
      <w:pPr>
        <w:jc w:val="both"/>
        <w:rPr>
          <w:rFonts w:ascii="Arial" w:eastAsiaTheme="minorEastAsia" w:hAnsi="Arial" w:cs="Arial"/>
          <w:bCs/>
          <w:i/>
          <w:iCs/>
          <w:color w:val="7030A0"/>
          <w:sz w:val="20"/>
          <w:lang w:val="en-AU" w:eastAsia="ja-JP"/>
        </w:rPr>
      </w:pPr>
      <w:r w:rsidRPr="00397660">
        <w:rPr>
          <w:rFonts w:ascii="Arial" w:eastAsiaTheme="minorEastAsia" w:hAnsi="Arial" w:cs="Arial"/>
          <w:bCs/>
          <w:i/>
          <w:iCs/>
          <w:color w:val="7030A0"/>
          <w:sz w:val="20"/>
          <w:lang w:val="en-AU" w:eastAsia="ja-JP"/>
        </w:rPr>
        <w:t xml:space="preserve">Does the proposal have strategic merit? </w:t>
      </w:r>
      <w:r w:rsidR="00484C89">
        <w:rPr>
          <w:rFonts w:ascii="Arial" w:eastAsiaTheme="minorEastAsia" w:hAnsi="Arial" w:cs="Arial"/>
          <w:bCs/>
          <w:i/>
          <w:iCs/>
          <w:color w:val="7030A0"/>
          <w:sz w:val="20"/>
          <w:lang w:val="en-AU" w:eastAsia="ja-JP"/>
        </w:rPr>
        <w:t>Will</w:t>
      </w:r>
      <w:r w:rsidR="00484C89" w:rsidRPr="00397660">
        <w:rPr>
          <w:rFonts w:ascii="Arial" w:eastAsiaTheme="minorEastAsia" w:hAnsi="Arial" w:cs="Arial"/>
          <w:bCs/>
          <w:i/>
          <w:iCs/>
          <w:color w:val="7030A0"/>
          <w:sz w:val="20"/>
          <w:lang w:val="en-AU" w:eastAsia="ja-JP"/>
        </w:rPr>
        <w:t xml:space="preserve"> </w:t>
      </w:r>
      <w:r w:rsidRPr="00397660">
        <w:rPr>
          <w:rFonts w:ascii="Arial" w:eastAsiaTheme="minorEastAsia" w:hAnsi="Arial" w:cs="Arial"/>
          <w:bCs/>
          <w:i/>
          <w:iCs/>
          <w:color w:val="7030A0"/>
          <w:sz w:val="20"/>
          <w:lang w:val="en-AU" w:eastAsia="ja-JP"/>
        </w:rPr>
        <w:t>it:</w:t>
      </w:r>
    </w:p>
    <w:p w14:paraId="305D1A48" w14:textId="4FBF931A" w:rsidR="00BC45CB" w:rsidRPr="00D5221A" w:rsidRDefault="006A7809" w:rsidP="00037AA1">
      <w:pPr>
        <w:pStyle w:val="ListParagraph"/>
        <w:numPr>
          <w:ilvl w:val="0"/>
          <w:numId w:val="4"/>
        </w:numPr>
        <w:jc w:val="both"/>
        <w:rPr>
          <w:rFonts w:ascii="Arial" w:eastAsiaTheme="minorEastAsia" w:hAnsi="Arial" w:cs="Arial"/>
          <w:bCs/>
          <w:i/>
          <w:iCs/>
          <w:sz w:val="20"/>
          <w:lang w:val="en-AU" w:eastAsia="ja-JP"/>
        </w:rPr>
      </w:pPr>
      <w:r>
        <w:rPr>
          <w:rFonts w:ascii="Arial" w:eastAsiaTheme="minorEastAsia" w:hAnsi="Arial" w:cs="Arial"/>
          <w:bCs/>
          <w:i/>
          <w:iCs/>
          <w:sz w:val="20"/>
          <w:lang w:val="en-AU" w:eastAsia="ja-JP"/>
        </w:rPr>
        <w:t>Give effect to</w:t>
      </w:r>
      <w:r w:rsidR="00BC45CB" w:rsidRPr="00D5221A">
        <w:rPr>
          <w:rFonts w:ascii="Arial" w:eastAsiaTheme="minorEastAsia" w:hAnsi="Arial" w:cs="Arial"/>
          <w:bCs/>
          <w:i/>
          <w:iCs/>
          <w:sz w:val="20"/>
          <w:lang w:val="en-AU" w:eastAsia="ja-JP"/>
        </w:rPr>
        <w:t xml:space="preserve"> the relevant regional plan outside of the Greater Sydney Region, the relevant district plan within the Greater Sydney Region, or corridor/precinct plans applying to the site, including any draft regional, district or corridor/precinct plans released for public comment; or</w:t>
      </w:r>
    </w:p>
    <w:p w14:paraId="7EC5FA6B" w14:textId="088DC8FF" w:rsidR="00BC45CB" w:rsidRPr="00D5221A" w:rsidRDefault="002806EE" w:rsidP="00037AA1">
      <w:pPr>
        <w:pStyle w:val="ListParagraph"/>
        <w:numPr>
          <w:ilvl w:val="0"/>
          <w:numId w:val="4"/>
        </w:numPr>
        <w:jc w:val="both"/>
        <w:rPr>
          <w:rFonts w:ascii="Arial" w:eastAsiaTheme="minorEastAsia" w:hAnsi="Arial" w:cs="Arial"/>
          <w:bCs/>
          <w:i/>
          <w:iCs/>
          <w:sz w:val="20"/>
          <w:lang w:val="en-AU" w:eastAsia="ja-JP"/>
        </w:rPr>
      </w:pPr>
      <w:r>
        <w:rPr>
          <w:rFonts w:ascii="Arial" w:eastAsiaTheme="minorEastAsia" w:hAnsi="Arial" w:cs="Arial"/>
          <w:bCs/>
          <w:i/>
          <w:iCs/>
          <w:sz w:val="20"/>
          <w:lang w:val="en-AU" w:eastAsia="ja-JP"/>
        </w:rPr>
        <w:t>G</w:t>
      </w:r>
      <w:r w:rsidRPr="002806EE">
        <w:rPr>
          <w:rFonts w:ascii="Arial" w:eastAsiaTheme="minorEastAsia" w:hAnsi="Arial" w:cs="Arial"/>
          <w:bCs/>
          <w:i/>
          <w:iCs/>
          <w:sz w:val="20"/>
          <w:lang w:val="en-AU" w:eastAsia="ja-JP"/>
        </w:rPr>
        <w:t xml:space="preserve">ive effect to a relevant local strategic planning </w:t>
      </w:r>
      <w:r w:rsidR="00C01EB0" w:rsidRPr="002806EE">
        <w:rPr>
          <w:rFonts w:ascii="Arial" w:eastAsiaTheme="minorEastAsia" w:hAnsi="Arial" w:cs="Arial"/>
          <w:bCs/>
          <w:i/>
          <w:iCs/>
          <w:sz w:val="20"/>
          <w:lang w:val="en-AU" w:eastAsia="ja-JP"/>
        </w:rPr>
        <w:t>statement</w:t>
      </w:r>
      <w:r w:rsidR="00C01EB0" w:rsidRPr="00D5221A">
        <w:rPr>
          <w:rFonts w:ascii="Arial" w:eastAsiaTheme="minorEastAsia" w:hAnsi="Arial" w:cs="Arial"/>
          <w:bCs/>
          <w:i/>
          <w:iCs/>
          <w:sz w:val="20"/>
          <w:lang w:val="en-AU" w:eastAsia="ja-JP"/>
        </w:rPr>
        <w:t xml:space="preserve"> </w:t>
      </w:r>
      <w:r w:rsidR="00C01EB0">
        <w:rPr>
          <w:rFonts w:ascii="Arial" w:eastAsiaTheme="minorEastAsia" w:hAnsi="Arial" w:cs="Arial"/>
          <w:bCs/>
          <w:i/>
          <w:iCs/>
          <w:sz w:val="20"/>
          <w:lang w:val="en-AU" w:eastAsia="ja-JP"/>
        </w:rPr>
        <w:t>or</w:t>
      </w:r>
      <w:r>
        <w:rPr>
          <w:rFonts w:ascii="Arial" w:eastAsiaTheme="minorEastAsia" w:hAnsi="Arial" w:cs="Arial"/>
          <w:bCs/>
          <w:i/>
          <w:iCs/>
          <w:sz w:val="20"/>
          <w:lang w:val="en-AU" w:eastAsia="ja-JP"/>
        </w:rPr>
        <w:t xml:space="preserve"> </w:t>
      </w:r>
      <w:r w:rsidR="00BC45CB" w:rsidRPr="00D5221A">
        <w:rPr>
          <w:rFonts w:ascii="Arial" w:eastAsiaTheme="minorEastAsia" w:hAnsi="Arial" w:cs="Arial"/>
          <w:bCs/>
          <w:i/>
          <w:iCs/>
          <w:sz w:val="20"/>
          <w:lang w:val="en-AU" w:eastAsia="ja-JP"/>
        </w:rPr>
        <w:t>strategy that has been endorsed by the Department</w:t>
      </w:r>
      <w:r>
        <w:rPr>
          <w:rFonts w:ascii="Arial" w:eastAsiaTheme="minorEastAsia" w:hAnsi="Arial" w:cs="Arial"/>
          <w:bCs/>
          <w:i/>
          <w:iCs/>
          <w:sz w:val="20"/>
          <w:lang w:val="en-AU" w:eastAsia="ja-JP"/>
        </w:rPr>
        <w:t xml:space="preserve"> </w:t>
      </w:r>
      <w:r w:rsidRPr="002806EE">
        <w:rPr>
          <w:rFonts w:ascii="Arial" w:eastAsiaTheme="minorEastAsia" w:hAnsi="Arial" w:cs="Arial"/>
          <w:bCs/>
          <w:i/>
          <w:iCs/>
          <w:sz w:val="20"/>
          <w:lang w:val="en-AU" w:eastAsia="ja-JP"/>
        </w:rPr>
        <w:t>or required as part of a regional or district plan or local strategic planning statement</w:t>
      </w:r>
      <w:r w:rsidR="00BC45CB" w:rsidRPr="00D5221A">
        <w:rPr>
          <w:rFonts w:ascii="Arial" w:eastAsiaTheme="minorEastAsia" w:hAnsi="Arial" w:cs="Arial"/>
          <w:bCs/>
          <w:i/>
          <w:iCs/>
          <w:sz w:val="20"/>
          <w:lang w:val="en-AU" w:eastAsia="ja-JP"/>
        </w:rPr>
        <w:t>; or</w:t>
      </w:r>
    </w:p>
    <w:p w14:paraId="7CA1DD79" w14:textId="24DAA2D1" w:rsidR="00BC45CB" w:rsidRPr="00D5221A" w:rsidRDefault="00BC45CB" w:rsidP="00037AA1">
      <w:pPr>
        <w:pStyle w:val="ListParagraph"/>
        <w:numPr>
          <w:ilvl w:val="0"/>
          <w:numId w:val="4"/>
        </w:numPr>
        <w:jc w:val="both"/>
        <w:rPr>
          <w:rFonts w:ascii="Arial" w:eastAsiaTheme="minorEastAsia" w:hAnsi="Arial" w:cs="Arial"/>
          <w:bCs/>
          <w:i/>
          <w:iCs/>
          <w:sz w:val="20"/>
          <w:lang w:val="en-AU" w:eastAsia="ja-JP"/>
        </w:rPr>
      </w:pPr>
      <w:r w:rsidRPr="00D5221A">
        <w:rPr>
          <w:rFonts w:ascii="Arial" w:eastAsiaTheme="minorEastAsia" w:hAnsi="Arial" w:cs="Arial"/>
          <w:bCs/>
          <w:i/>
          <w:iCs/>
          <w:sz w:val="20"/>
          <w:lang w:val="en-AU" w:eastAsia="ja-JP"/>
        </w:rPr>
        <w:t xml:space="preserve">Responding to a change in circumstances, such as the investment in new infrastructure or changing demographic trends that have not been recognised by existing </w:t>
      </w:r>
      <w:r w:rsidR="002806EE">
        <w:rPr>
          <w:rFonts w:ascii="Arial" w:eastAsiaTheme="minorEastAsia" w:hAnsi="Arial" w:cs="Arial"/>
          <w:bCs/>
          <w:i/>
          <w:iCs/>
          <w:sz w:val="20"/>
          <w:lang w:val="en-AU" w:eastAsia="ja-JP"/>
        </w:rPr>
        <w:t>strategic plans</w:t>
      </w:r>
      <w:r w:rsidRPr="00D5221A">
        <w:rPr>
          <w:rFonts w:ascii="Arial" w:eastAsiaTheme="minorEastAsia" w:hAnsi="Arial" w:cs="Arial"/>
          <w:bCs/>
          <w:i/>
          <w:iCs/>
          <w:sz w:val="20"/>
          <w:lang w:val="en-AU" w:eastAsia="ja-JP"/>
        </w:rPr>
        <w:t>?</w:t>
      </w:r>
    </w:p>
    <w:p w14:paraId="71EAF551" w14:textId="71C29EA1" w:rsidR="001575DE" w:rsidRDefault="00BC45CB" w:rsidP="00226DCE">
      <w:pPr>
        <w:jc w:val="both"/>
        <w:rPr>
          <w:rFonts w:ascii="Arial" w:eastAsiaTheme="minorEastAsia" w:hAnsi="Arial" w:cs="Arial"/>
          <w:bCs/>
          <w:iCs/>
          <w:sz w:val="20"/>
          <w:lang w:val="en-AU" w:eastAsia="ja-JP"/>
        </w:rPr>
      </w:pPr>
      <w:r w:rsidRPr="00BC45CB">
        <w:rPr>
          <w:rFonts w:ascii="Arial" w:eastAsiaTheme="minorEastAsia" w:hAnsi="Arial" w:cs="Arial"/>
          <w:bCs/>
          <w:iCs/>
          <w:sz w:val="20"/>
          <w:lang w:val="en-AU" w:eastAsia="ja-JP"/>
        </w:rPr>
        <w:t>In considering strategic merit, the alignment of the proposal with the Regional Plan and District Plan supports the proposal.</w:t>
      </w:r>
      <w:r w:rsidR="0047241E">
        <w:rPr>
          <w:rFonts w:ascii="Arial" w:eastAsiaTheme="minorEastAsia" w:hAnsi="Arial" w:cs="Arial"/>
          <w:bCs/>
          <w:iCs/>
          <w:sz w:val="20"/>
          <w:lang w:val="en-AU" w:eastAsia="ja-JP"/>
        </w:rPr>
        <w:t xml:space="preserve"> </w:t>
      </w:r>
      <w:r w:rsidR="00536F41" w:rsidRPr="00536F41">
        <w:rPr>
          <w:rFonts w:ascii="Arial" w:eastAsiaTheme="minorEastAsia" w:hAnsi="Arial" w:cs="Arial"/>
          <w:bCs/>
          <w:iCs/>
          <w:sz w:val="20"/>
          <w:lang w:val="en-AU" w:eastAsia="ja-JP"/>
        </w:rPr>
        <w:t>These land uses are further reinforced in Liverpool City Council’s Local Strategic Planning</w:t>
      </w:r>
      <w:r w:rsidR="00536F41">
        <w:rPr>
          <w:rFonts w:ascii="Arial" w:eastAsiaTheme="minorEastAsia" w:hAnsi="Arial" w:cs="Arial"/>
          <w:bCs/>
          <w:iCs/>
          <w:sz w:val="20"/>
          <w:lang w:val="en-AU" w:eastAsia="ja-JP"/>
        </w:rPr>
        <w:t xml:space="preserve"> </w:t>
      </w:r>
      <w:r w:rsidR="00536F41" w:rsidRPr="00536F41">
        <w:rPr>
          <w:rFonts w:ascii="Arial" w:eastAsiaTheme="minorEastAsia" w:hAnsi="Arial" w:cs="Arial"/>
          <w:bCs/>
          <w:iCs/>
          <w:sz w:val="20"/>
          <w:lang w:val="en-AU" w:eastAsia="ja-JP"/>
        </w:rPr>
        <w:t>Statement (LSPS), which identifies the site for investigation as residential/mixed use to support</w:t>
      </w:r>
      <w:r w:rsidR="00536F41">
        <w:rPr>
          <w:rFonts w:ascii="Arial" w:eastAsiaTheme="minorEastAsia" w:hAnsi="Arial" w:cs="Arial"/>
          <w:bCs/>
          <w:iCs/>
          <w:sz w:val="20"/>
          <w:lang w:val="en-AU" w:eastAsia="ja-JP"/>
        </w:rPr>
        <w:t xml:space="preserve"> </w:t>
      </w:r>
      <w:r w:rsidR="00536F41" w:rsidRPr="00536F41">
        <w:rPr>
          <w:rFonts w:ascii="Arial" w:eastAsiaTheme="minorEastAsia" w:hAnsi="Arial" w:cs="Arial"/>
          <w:bCs/>
          <w:iCs/>
          <w:sz w:val="20"/>
          <w:lang w:val="en-AU" w:eastAsia="ja-JP"/>
        </w:rPr>
        <w:t>the CBD and Innovation Precinct in tandem with linking open space and green corridors.</w:t>
      </w:r>
    </w:p>
    <w:p w14:paraId="723E0507" w14:textId="6D62694E" w:rsidR="0005206F" w:rsidRPr="0005206F" w:rsidRDefault="0005206F" w:rsidP="0005206F">
      <w:pPr>
        <w:jc w:val="both"/>
        <w:rPr>
          <w:rFonts w:ascii="Arial" w:eastAsiaTheme="minorEastAsia" w:hAnsi="Arial" w:cs="Arial"/>
          <w:bCs/>
          <w:iCs/>
          <w:sz w:val="20"/>
          <w:lang w:val="en-AU" w:eastAsia="ja-JP"/>
        </w:rPr>
      </w:pPr>
      <w:r w:rsidRPr="0005206F">
        <w:rPr>
          <w:rFonts w:ascii="Arial" w:eastAsiaTheme="minorEastAsia" w:hAnsi="Arial" w:cs="Arial"/>
          <w:bCs/>
          <w:iCs/>
          <w:sz w:val="20"/>
          <w:lang w:val="en-AU" w:eastAsia="ja-JP"/>
        </w:rPr>
        <w:t>Key to the LSPS is the recognition of Moore Point as future residential/mixed-use to support the</w:t>
      </w:r>
      <w:r>
        <w:rPr>
          <w:rFonts w:ascii="Arial" w:eastAsiaTheme="minorEastAsia" w:hAnsi="Arial" w:cs="Arial"/>
          <w:bCs/>
          <w:iCs/>
          <w:sz w:val="20"/>
          <w:lang w:val="en-AU" w:eastAsia="ja-JP"/>
        </w:rPr>
        <w:t xml:space="preserve"> </w:t>
      </w:r>
      <w:r w:rsidRPr="0005206F">
        <w:rPr>
          <w:rFonts w:ascii="Arial" w:eastAsiaTheme="minorEastAsia" w:hAnsi="Arial" w:cs="Arial"/>
          <w:bCs/>
          <w:iCs/>
          <w:sz w:val="20"/>
          <w:lang w:val="en-AU" w:eastAsia="ja-JP"/>
        </w:rPr>
        <w:t>CBD and Innovation Precinct. Key themes emerging from the LSPS that relate to future</w:t>
      </w:r>
      <w:r>
        <w:rPr>
          <w:rFonts w:ascii="Arial" w:eastAsiaTheme="minorEastAsia" w:hAnsi="Arial" w:cs="Arial"/>
          <w:bCs/>
          <w:iCs/>
          <w:sz w:val="20"/>
          <w:lang w:val="en-AU" w:eastAsia="ja-JP"/>
        </w:rPr>
        <w:t xml:space="preserve"> </w:t>
      </w:r>
      <w:r w:rsidRPr="0005206F">
        <w:rPr>
          <w:rFonts w:ascii="Arial" w:eastAsiaTheme="minorEastAsia" w:hAnsi="Arial" w:cs="Arial"/>
          <w:bCs/>
          <w:iCs/>
          <w:sz w:val="20"/>
          <w:lang w:val="en-AU" w:eastAsia="ja-JP"/>
        </w:rPr>
        <w:t>strategic planning for the site include:</w:t>
      </w:r>
    </w:p>
    <w:p w14:paraId="5053CA30" w14:textId="77777777" w:rsidR="0005206F" w:rsidRPr="0005206F" w:rsidRDefault="0005206F" w:rsidP="0005206F">
      <w:pPr>
        <w:jc w:val="both"/>
        <w:rPr>
          <w:rFonts w:ascii="Arial" w:eastAsiaTheme="minorEastAsia" w:hAnsi="Arial" w:cs="Arial"/>
          <w:bCs/>
          <w:iCs/>
          <w:sz w:val="20"/>
          <w:lang w:val="en-AU" w:eastAsia="ja-JP"/>
        </w:rPr>
      </w:pPr>
      <w:r w:rsidRPr="0005206F">
        <w:rPr>
          <w:rFonts w:ascii="Arial" w:eastAsiaTheme="minorEastAsia" w:hAnsi="Arial" w:cs="Arial"/>
          <w:bCs/>
          <w:iCs/>
          <w:sz w:val="20"/>
          <w:lang w:val="en-AU" w:eastAsia="ja-JP"/>
        </w:rPr>
        <w:t>The LSPS provides the following short-term action (now—5 years) specific to the Moore Point:</w:t>
      </w:r>
    </w:p>
    <w:p w14:paraId="5E840C4F" w14:textId="440FECE9" w:rsidR="001575DE" w:rsidRDefault="00A70700" w:rsidP="00A70700">
      <w:pPr>
        <w:ind w:left="720"/>
        <w:jc w:val="both"/>
        <w:rPr>
          <w:rFonts w:ascii="Arial" w:eastAsiaTheme="minorEastAsia" w:hAnsi="Arial" w:cs="Arial"/>
          <w:bCs/>
          <w:iCs/>
          <w:sz w:val="20"/>
          <w:lang w:val="en-AU" w:eastAsia="ja-JP"/>
        </w:rPr>
      </w:pPr>
      <w:r>
        <w:rPr>
          <w:rFonts w:ascii="Arial" w:eastAsiaTheme="minorEastAsia" w:hAnsi="Arial" w:cs="Arial"/>
          <w:bCs/>
          <w:iCs/>
          <w:sz w:val="20"/>
          <w:lang w:val="en-AU" w:eastAsia="ja-JP"/>
        </w:rPr>
        <w:t>“</w:t>
      </w:r>
      <w:r w:rsidR="0005206F" w:rsidRPr="0005206F">
        <w:rPr>
          <w:rFonts w:ascii="Arial" w:eastAsiaTheme="minorEastAsia" w:hAnsi="Arial" w:cs="Arial"/>
          <w:bCs/>
          <w:iCs/>
          <w:sz w:val="20"/>
          <w:lang w:val="en-AU" w:eastAsia="ja-JP"/>
        </w:rPr>
        <w:t>Action 11.2 – Investigate amendments to LEP to rezone River precinct north of</w:t>
      </w:r>
      <w:r w:rsidR="0005206F">
        <w:rPr>
          <w:rFonts w:ascii="Arial" w:eastAsiaTheme="minorEastAsia" w:hAnsi="Arial" w:cs="Arial"/>
          <w:bCs/>
          <w:iCs/>
          <w:sz w:val="20"/>
          <w:lang w:val="en-AU" w:eastAsia="ja-JP"/>
        </w:rPr>
        <w:t xml:space="preserve"> </w:t>
      </w:r>
      <w:r w:rsidR="0005206F" w:rsidRPr="0005206F">
        <w:rPr>
          <w:rFonts w:ascii="Arial" w:eastAsiaTheme="minorEastAsia" w:hAnsi="Arial" w:cs="Arial"/>
          <w:bCs/>
          <w:iCs/>
          <w:sz w:val="20"/>
          <w:lang w:val="en-AU" w:eastAsia="ja-JP"/>
        </w:rPr>
        <w:t>Newbridge Road (Moore Point) as a mixed-use zone to support the Liverpool CBD and</w:t>
      </w:r>
      <w:r w:rsidR="0005206F">
        <w:rPr>
          <w:rFonts w:ascii="Arial" w:eastAsiaTheme="minorEastAsia" w:hAnsi="Arial" w:cs="Arial"/>
          <w:bCs/>
          <w:iCs/>
          <w:sz w:val="20"/>
          <w:lang w:val="en-AU" w:eastAsia="ja-JP"/>
        </w:rPr>
        <w:t xml:space="preserve"> </w:t>
      </w:r>
      <w:r w:rsidR="0005206F" w:rsidRPr="0005206F">
        <w:rPr>
          <w:rFonts w:ascii="Arial" w:eastAsiaTheme="minorEastAsia" w:hAnsi="Arial" w:cs="Arial"/>
          <w:bCs/>
          <w:iCs/>
          <w:sz w:val="20"/>
          <w:lang w:val="en-AU" w:eastAsia="ja-JP"/>
        </w:rPr>
        <w:t>Innovation Precinct, with an extensive open space system and cross-river linkages</w:t>
      </w:r>
      <w:r w:rsidR="0005206F">
        <w:rPr>
          <w:rFonts w:ascii="Arial" w:eastAsiaTheme="minorEastAsia" w:hAnsi="Arial" w:cs="Arial"/>
          <w:bCs/>
          <w:iCs/>
          <w:sz w:val="20"/>
          <w:lang w:val="en-AU" w:eastAsia="ja-JP"/>
        </w:rPr>
        <w:t xml:space="preserve"> </w:t>
      </w:r>
      <w:r w:rsidR="0005206F" w:rsidRPr="0005206F">
        <w:rPr>
          <w:rFonts w:ascii="Arial" w:eastAsiaTheme="minorEastAsia" w:hAnsi="Arial" w:cs="Arial"/>
          <w:bCs/>
          <w:iCs/>
          <w:sz w:val="20"/>
          <w:lang w:val="en-AU" w:eastAsia="ja-JP"/>
        </w:rPr>
        <w:t>(short to medium term)</w:t>
      </w:r>
      <w:r>
        <w:rPr>
          <w:rFonts w:ascii="Arial" w:eastAsiaTheme="minorEastAsia" w:hAnsi="Arial" w:cs="Arial"/>
          <w:bCs/>
          <w:iCs/>
          <w:sz w:val="20"/>
          <w:lang w:val="en-AU" w:eastAsia="ja-JP"/>
        </w:rPr>
        <w:t>”.</w:t>
      </w:r>
    </w:p>
    <w:p w14:paraId="70A506E5" w14:textId="5DD20E86" w:rsidR="0047241E" w:rsidRPr="0047241E" w:rsidRDefault="00CA0AD0" w:rsidP="00226DCE">
      <w:pPr>
        <w:jc w:val="both"/>
        <w:rPr>
          <w:rFonts w:ascii="Arial" w:eastAsiaTheme="minorEastAsia" w:hAnsi="Arial" w:cs="Arial"/>
          <w:bCs/>
          <w:iCs/>
          <w:sz w:val="20"/>
          <w:lang w:val="en-AU" w:eastAsia="ja-JP"/>
        </w:rPr>
      </w:pPr>
      <w:r w:rsidRPr="00A45C3B">
        <w:rPr>
          <w:rFonts w:ascii="Arial" w:eastAsiaTheme="minorEastAsia" w:hAnsi="Arial" w:cs="Arial"/>
          <w:bCs/>
          <w:iCs/>
          <w:sz w:val="20"/>
          <w:lang w:val="en-AU" w:eastAsia="ja-JP"/>
        </w:rPr>
        <w:t>In addition to meeting at least one of t</w:t>
      </w:r>
      <w:r>
        <w:rPr>
          <w:rFonts w:ascii="Arial" w:eastAsiaTheme="minorEastAsia" w:hAnsi="Arial" w:cs="Arial"/>
          <w:bCs/>
          <w:iCs/>
          <w:sz w:val="20"/>
          <w:lang w:val="en-AU" w:eastAsia="ja-JP"/>
        </w:rPr>
        <w:t>he strategic merit criteria, a p</w:t>
      </w:r>
      <w:r w:rsidRPr="00A45C3B">
        <w:rPr>
          <w:rFonts w:ascii="Arial" w:eastAsiaTheme="minorEastAsia" w:hAnsi="Arial" w:cs="Arial"/>
          <w:bCs/>
          <w:iCs/>
          <w:sz w:val="20"/>
          <w:lang w:val="en-AU" w:eastAsia="ja-JP"/>
        </w:rPr>
        <w:t>lanning proposal is required to demonstrate site-specific merit against the following criteria</w:t>
      </w:r>
      <w:r>
        <w:rPr>
          <w:rFonts w:ascii="Arial" w:eastAsiaTheme="minorEastAsia" w:hAnsi="Arial" w:cs="Arial"/>
          <w:bCs/>
          <w:iCs/>
          <w:sz w:val="20"/>
          <w:lang w:val="en-AU" w:eastAsia="ja-JP"/>
        </w:rPr>
        <w:t xml:space="preserve"> </w:t>
      </w:r>
      <w:r w:rsidRPr="00F62D49">
        <w:rPr>
          <w:rFonts w:ascii="Arial" w:eastAsiaTheme="minorEastAsia" w:hAnsi="Arial" w:cs="Arial"/>
          <w:bCs/>
          <w:iCs/>
          <w:sz w:val="20"/>
          <w:szCs w:val="20"/>
          <w:lang w:val="en-AU" w:eastAsia="ja-JP"/>
        </w:rPr>
        <w:t>below</w:t>
      </w:r>
      <w:r>
        <w:rPr>
          <w:rFonts w:ascii="Arial" w:eastAsiaTheme="minorEastAsia" w:hAnsi="Arial" w:cs="Arial"/>
          <w:bCs/>
          <w:iCs/>
          <w:sz w:val="20"/>
          <w:lang w:val="en-AU" w:eastAsia="ja-JP"/>
        </w:rPr>
        <w:t>.</w:t>
      </w:r>
    </w:p>
    <w:p w14:paraId="37C2391D" w14:textId="77777777" w:rsidR="00B70B75" w:rsidRPr="00B70B75" w:rsidRDefault="00B70B75" w:rsidP="00057B35">
      <w:pPr>
        <w:jc w:val="both"/>
        <w:rPr>
          <w:rFonts w:ascii="Arial" w:eastAsiaTheme="minorEastAsia" w:hAnsi="Arial" w:cs="Arial"/>
          <w:bCs/>
          <w:i/>
          <w:iCs/>
          <w:color w:val="7030A0"/>
          <w:sz w:val="20"/>
          <w:lang w:val="en-AU" w:eastAsia="ja-JP"/>
        </w:rPr>
      </w:pPr>
      <w:r w:rsidRPr="00B70B75">
        <w:rPr>
          <w:rFonts w:ascii="Arial" w:eastAsiaTheme="minorEastAsia" w:hAnsi="Arial" w:cs="Arial"/>
          <w:bCs/>
          <w:i/>
          <w:iCs/>
          <w:color w:val="7030A0"/>
          <w:sz w:val="20"/>
          <w:lang w:val="en-AU" w:eastAsia="ja-JP"/>
        </w:rPr>
        <w:t>Does the proposal have site specific merit, having regard to the following:</w:t>
      </w:r>
    </w:p>
    <w:p w14:paraId="30E41957" w14:textId="78E25BBE" w:rsidR="00B70B75" w:rsidRPr="00372456" w:rsidRDefault="00B70B75" w:rsidP="00037AA1">
      <w:pPr>
        <w:pStyle w:val="ListParagraph"/>
        <w:numPr>
          <w:ilvl w:val="0"/>
          <w:numId w:val="8"/>
        </w:numPr>
        <w:jc w:val="both"/>
        <w:rPr>
          <w:rFonts w:ascii="Arial" w:eastAsiaTheme="minorEastAsia" w:hAnsi="Arial" w:cs="Arial"/>
          <w:bCs/>
          <w:i/>
          <w:iCs/>
          <w:color w:val="7030A0"/>
          <w:sz w:val="20"/>
          <w:lang w:val="en-AU" w:eastAsia="ja-JP"/>
        </w:rPr>
      </w:pPr>
      <w:r w:rsidRPr="00372456">
        <w:rPr>
          <w:rFonts w:ascii="Arial" w:eastAsiaTheme="minorEastAsia" w:hAnsi="Arial" w:cs="Arial"/>
          <w:bCs/>
          <w:i/>
          <w:iCs/>
          <w:color w:val="7030A0"/>
          <w:sz w:val="20"/>
          <w:lang w:val="en-AU" w:eastAsia="ja-JP"/>
        </w:rPr>
        <w:t xml:space="preserve">The natural environment (including known significant environmental values, resources or hazards); </w:t>
      </w:r>
    </w:p>
    <w:p w14:paraId="22A33F6E" w14:textId="2BE86C55"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A summary of technical study findings in relation to known significant environmental values,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resources or hazards is summarised below.</w:t>
      </w:r>
    </w:p>
    <w:p w14:paraId="6BC511AF"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Biodiversity</w:t>
      </w:r>
    </w:p>
    <w:p w14:paraId="14FC93E8" w14:textId="7C3EC828"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respect to biodiversity, Eco Logical Australia note the study area has been subject to</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considerable vegetation disturbance and does not contain any remnant native vegetation.</w:t>
      </w:r>
    </w:p>
    <w:p w14:paraId="74BB292A" w14:textId="1CC0491C"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One threatened ecological community River-flat Eucalypt Forest on Coastal Floodplains of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NSW North Coast, Sydney Basin and South Eastern Bioregions listed as an endangered</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ecological community (EEC) and has been mapped as occurring within the study area.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 xml:space="preserve">vegetation has been established </w:t>
      </w:r>
      <w:r w:rsidRPr="00DB4EF8">
        <w:rPr>
          <w:rFonts w:ascii="Arial" w:eastAsiaTheme="minorEastAsia" w:hAnsi="Arial" w:cs="Arial"/>
          <w:bCs/>
          <w:iCs/>
          <w:sz w:val="20"/>
          <w:lang w:val="en-AU" w:eastAsia="ja-JP"/>
        </w:rPr>
        <w:lastRenderedPageBreak/>
        <w:t>through revegetation works. It contains high weed blooms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 xml:space="preserve">and is in poor condition. Therefore, it did not satisfy listing criteria under the </w:t>
      </w:r>
      <w:r w:rsidRPr="00DB4EF8">
        <w:rPr>
          <w:rFonts w:ascii="Arial" w:eastAsiaTheme="minorEastAsia" w:hAnsi="Arial" w:cs="Arial"/>
          <w:bCs/>
          <w:i/>
          <w:sz w:val="20"/>
          <w:lang w:val="en-AU" w:eastAsia="ja-JP"/>
        </w:rPr>
        <w:t>Environmental Protection Biodiversity Conservation Act</w:t>
      </w:r>
      <w:r w:rsidRPr="00DB4EF8">
        <w:rPr>
          <w:rFonts w:ascii="Arial" w:eastAsiaTheme="minorEastAsia" w:hAnsi="Arial" w:cs="Arial"/>
          <w:bCs/>
          <w:iCs/>
          <w:sz w:val="20"/>
          <w:lang w:val="en-AU" w:eastAsia="ja-JP"/>
        </w:rPr>
        <w:t xml:space="preserve"> (EPBC Act).</w:t>
      </w:r>
    </w:p>
    <w:p w14:paraId="15A27D2E" w14:textId="246C1F71"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One matter of National Environmental Significance was identified as having potential to be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 xml:space="preserve">adversely affected by the proposed works is the </w:t>
      </w:r>
      <w:r w:rsidRPr="00DB4EF8">
        <w:rPr>
          <w:rFonts w:ascii="Arial" w:eastAsiaTheme="minorEastAsia" w:hAnsi="Arial" w:cs="Arial"/>
          <w:bCs/>
          <w:i/>
          <w:sz w:val="20"/>
          <w:lang w:val="en-AU" w:eastAsia="ja-JP"/>
        </w:rPr>
        <w:t xml:space="preserve">Pteropus poliocephalus </w:t>
      </w:r>
      <w:r w:rsidRPr="00DB4EF8">
        <w:rPr>
          <w:rFonts w:ascii="Arial" w:eastAsiaTheme="minorEastAsia" w:hAnsi="Arial" w:cs="Arial"/>
          <w:bCs/>
          <w:iCs/>
          <w:sz w:val="20"/>
          <w:lang w:val="en-AU" w:eastAsia="ja-JP"/>
        </w:rPr>
        <w:t>(Grey-headed Flyingfox),</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which is listed as a vulnerable species under the EPBC Act. It is considered that this species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is likely to use some of the study area for seasonal foraging. An assessment on the</w:t>
      </w:r>
    </w:p>
    <w:p w14:paraId="120F240C" w14:textId="15730936"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Commonwealth Significant Impact Criteria is required for species listed under the EPBC Act</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and submitted with a Biodiversity Development Assessment Report (BDAR).</w:t>
      </w:r>
    </w:p>
    <w:p w14:paraId="69E6ADD5"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Contamination</w:t>
      </w:r>
    </w:p>
    <w:p w14:paraId="714964A2" w14:textId="77777777" w:rsid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respect to known contamination, EI Australia conclude a combination of the following</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remedial options may be implemented to remediate the site for its intended purpose:</w:t>
      </w:r>
    </w:p>
    <w:p w14:paraId="3846A010" w14:textId="39C5073A"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Excavation and On-site Encapsulation – Involving excavation of impacted soils from</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bulk excavations that are intended for the construction of basement car parking</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facilities followed by onsite reuse to the extent possible.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On-site containment of contaminated soils by way of capping and/or encapsulation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within low permeability cells or other appropriately designed barrier system, where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subsurface or above-ground storage areas are available. Contaminated materials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that are retained on-site will need to be managed under a site-specific LTEMP, which</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will include periodic groundwater monitoring to confirm that off-site containment</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migration is not occurring. Should off-site mitigation be detected, then contingent</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groundwater measures will need to be implemented;</w:t>
      </w:r>
    </w:p>
    <w:p w14:paraId="222C903F" w14:textId="59118A7C" w:rsidR="00DB4EF8" w:rsidRPr="00DB4EF8" w:rsidRDefault="00DB4EF8" w:rsidP="00DB4EF8">
      <w:pPr>
        <w:rPr>
          <w:rFonts w:ascii="Arial" w:eastAsiaTheme="minorEastAsia" w:hAnsi="Arial" w:cs="Arial"/>
          <w:bCs/>
          <w:iCs/>
          <w:sz w:val="20"/>
          <w:lang w:val="en-AU" w:eastAsia="ja-JP"/>
        </w:rPr>
      </w:pPr>
      <w:r>
        <w:rPr>
          <w:rFonts w:ascii="Arial" w:eastAsiaTheme="minorEastAsia" w:hAnsi="Arial" w:cs="Arial"/>
          <w:bCs/>
          <w:iCs/>
          <w:sz w:val="20"/>
          <w:lang w:val="en-AU" w:eastAsia="ja-JP"/>
        </w:rPr>
        <w:t>E</w:t>
      </w:r>
      <w:r w:rsidRPr="00DB4EF8">
        <w:rPr>
          <w:rFonts w:ascii="Arial" w:eastAsiaTheme="minorEastAsia" w:hAnsi="Arial" w:cs="Arial"/>
          <w:bCs/>
          <w:iCs/>
          <w:sz w:val="20"/>
          <w:lang w:val="en-AU" w:eastAsia="ja-JP"/>
        </w:rPr>
        <w:t>xcavation and Off-site Disposal – Involving excavation of impacted soils from bulk</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excavation followed by off-site disposal of surplus impacted soils to licensed waste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landfill;</w:t>
      </w:r>
    </w:p>
    <w:p w14:paraId="563D0526" w14:textId="5D81C7B1"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In-site Soil Vapour Extraction – Coarse grained soils impacted with VOCs (including</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chlorinated VOCs, light fraction petroleum hydrocarbons and BTEX), may be treated</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in-situ by extracting soil vapour under vacuum, via horizontal vent pipes installed in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trenches throughout the impacted area. The contamination is drawn out of the soil as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vapour and liquid, which are collected for appropriate on-site treatment and/or offsite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recycling; and</w:t>
      </w:r>
    </w:p>
    <w:p w14:paraId="1BF9678C" w14:textId="5E65EF70"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Ex-situ Bioremediation with Soil Vapour Extraction – Coarse grained soils impacted with</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VOCs (including chlorinated VOCs, light fraction petroleum hydrocarbons and BTEX),</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may be treated ex-situ by extracting soil vapour under vacuum, via horizontal vent</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pipes installed in bio-piles created from the excavation of impacted soils.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contamination is drawn out of the soil bio-piles as vapour and liquid, which are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collected for appropriate on-site treatment and/or off-site recycling.</w:t>
      </w:r>
    </w:p>
    <w:p w14:paraId="1B588C05" w14:textId="2785E102" w:rsid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Overall, once the data gap closure investigations are available, the remedial strategy may be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refined. A detailed, site-specific remedial action plan (RAP) is required for each site, before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the commencement of site remediation.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The site-specific RAP must include an Unexpected Finds Protocol to provide guidance on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addressing unexpected contamination that may be identified during the course of site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redevelopment.</w:t>
      </w:r>
    </w:p>
    <w:p w14:paraId="2B1029B9" w14:textId="1FF02978" w:rsidR="00DB4EF8" w:rsidRPr="00DB4EF8" w:rsidRDefault="00DB4EF8" w:rsidP="00DB4EF8">
      <w:pPr>
        <w:rPr>
          <w:rFonts w:ascii="Arial" w:eastAsiaTheme="minorEastAsia" w:hAnsi="Arial" w:cs="Arial"/>
          <w:bCs/>
          <w:iCs/>
          <w:sz w:val="20"/>
          <w:lang w:val="en-AU" w:eastAsia="ja-JP"/>
        </w:rPr>
      </w:pPr>
      <w:r>
        <w:rPr>
          <w:rFonts w:ascii="Arial" w:eastAsiaTheme="minorEastAsia" w:hAnsi="Arial" w:cs="Arial"/>
          <w:bCs/>
          <w:iCs/>
          <w:sz w:val="20"/>
          <w:lang w:val="en-AU" w:eastAsia="ja-JP"/>
        </w:rPr>
        <w:t>Council has requested refinements to the contamination study be provided post-Gateway.</w:t>
      </w:r>
    </w:p>
    <w:p w14:paraId="2F006925"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Riparian</w:t>
      </w:r>
    </w:p>
    <w:p w14:paraId="251E763C" w14:textId="6CA0E3BB"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regards to the riparian corridor, Northrop consider for most of the site, the riparian corridor</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will contain three structured zones, i.e. Riverbank, Inner VRZ and Outer VRZ, which is consistent</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with the National Resources Access Regulator (NRAR) Riparian Guideline. However,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creation of the Georges River foreshore park as envisioned does not conform to the Guideline.</w:t>
      </w:r>
    </w:p>
    <w:p w14:paraId="37092450" w14:textId="4BB0649C"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lastRenderedPageBreak/>
        <w:t>Therefore, a merit-based approach to assess this strategy for the entire site is proposed, which</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relies on offsetting for an overall improved environmental outcome.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Northrop conclude that the outcomes presented above provide a significant environmental</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improvement for the site and Lake Moore. The approach has a sound rationale, which justifies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 merit-based assessment on this basis.</w:t>
      </w:r>
    </w:p>
    <w:p w14:paraId="74C2F4B7"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Flooding</w:t>
      </w:r>
    </w:p>
    <w:p w14:paraId="683A07B2" w14:textId="68F61A39"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regards to flooding, J. Wyndham Prince note the current floodplain storage during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1% AEP event has considered the proposed development landform and regional floodplain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reclamation strategy. The proposed implementation of the two flood storages and on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banks on the Georges River adjacent to the western motorway will result in an increase in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available floodplain storage by 31,930m3.</w:t>
      </w:r>
    </w:p>
    <w:p w14:paraId="489F8A93" w14:textId="5B739A96" w:rsid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J. Wyndham Prince conclude the detailed flood assessment for the strategy has</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demonstrated that, with the site, peak flood levels in surrounding properties and within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Georges River will not increase as compared to existing conditions in the catchment in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1% AEP events. Importantly, provision of the proposed flood levels to the south of Newbridge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Road will also reduce the extent of flooding within the Moorebank area, which is therefore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considered to be an improvement upon existing conditions.</w:t>
      </w:r>
    </w:p>
    <w:p w14:paraId="7CFE5CF5" w14:textId="0DF4AE70" w:rsidR="00DB4EF8" w:rsidRPr="00DB4EF8" w:rsidRDefault="00DB4EF8" w:rsidP="00DB4EF8">
      <w:pPr>
        <w:rPr>
          <w:rFonts w:ascii="Arial" w:eastAsiaTheme="minorEastAsia" w:hAnsi="Arial" w:cs="Arial"/>
          <w:bCs/>
          <w:iCs/>
          <w:sz w:val="20"/>
          <w:lang w:val="en-AU" w:eastAsia="ja-JP"/>
        </w:rPr>
      </w:pPr>
      <w:r>
        <w:rPr>
          <w:rFonts w:ascii="Arial" w:eastAsiaTheme="minorEastAsia" w:hAnsi="Arial" w:cs="Arial"/>
          <w:bCs/>
          <w:iCs/>
          <w:sz w:val="20"/>
          <w:lang w:val="en-AU" w:eastAsia="ja-JP"/>
        </w:rPr>
        <w:t>Council has requested that refinements to the flooding and flood evacuation studies be provided post-Gateway.</w:t>
      </w:r>
    </w:p>
    <w:p w14:paraId="2B93F53B"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Aboriginal Heritage</w:t>
      </w:r>
    </w:p>
    <w:p w14:paraId="40BB9450" w14:textId="04419446"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respect to Aboriginal heritage, EI Australia assert that development is not proposed in the</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area noted as having moderate archaeological potential, which will be used for a planned</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riparian corridor. The remainder of the study area possesses low archaeological potential and</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no further assessment is therefore required.</w:t>
      </w:r>
    </w:p>
    <w:p w14:paraId="77359DE5" w14:textId="77777777" w:rsidR="00DB4EF8" w:rsidRPr="00DB4EF8" w:rsidRDefault="00DB4EF8" w:rsidP="00DB4EF8">
      <w:pPr>
        <w:rPr>
          <w:rFonts w:ascii="Arial" w:eastAsiaTheme="minorEastAsia" w:hAnsi="Arial" w:cs="Arial"/>
          <w:b/>
          <w:iCs/>
          <w:sz w:val="20"/>
          <w:lang w:val="en-AU" w:eastAsia="ja-JP"/>
        </w:rPr>
      </w:pPr>
      <w:r w:rsidRPr="00DB4EF8">
        <w:rPr>
          <w:rFonts w:ascii="Arial" w:eastAsiaTheme="minorEastAsia" w:hAnsi="Arial" w:cs="Arial"/>
          <w:b/>
          <w:iCs/>
          <w:sz w:val="20"/>
          <w:lang w:val="en-AU" w:eastAsia="ja-JP"/>
        </w:rPr>
        <w:t>Air Quality</w:t>
      </w:r>
    </w:p>
    <w:p w14:paraId="0F9501F8" w14:textId="58762A60" w:rsidR="00DB4EF8" w:rsidRPr="00DB4EF8" w:rsidRDefault="00DB4EF8" w:rsidP="00DB4EF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With respect to air quality, Todoroski Air Sciences conclude there is no reasonable indication</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of any likely air quality impacts that may prevent development at this location. It is anticipated</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a detailed study would be required as part of the Development Application process.</w:t>
      </w:r>
    </w:p>
    <w:p w14:paraId="292C48AC" w14:textId="77777777" w:rsidR="001C11C8" w:rsidRDefault="00DB4EF8" w:rsidP="001C11C8">
      <w:pPr>
        <w:rPr>
          <w:rFonts w:ascii="Arial" w:eastAsiaTheme="minorEastAsia" w:hAnsi="Arial" w:cs="Arial"/>
          <w:bCs/>
          <w:iCs/>
          <w:sz w:val="20"/>
          <w:lang w:val="en-AU" w:eastAsia="ja-JP"/>
        </w:rPr>
      </w:pPr>
      <w:r w:rsidRPr="00DB4EF8">
        <w:rPr>
          <w:rFonts w:ascii="Arial" w:eastAsiaTheme="minorEastAsia" w:hAnsi="Arial" w:cs="Arial"/>
          <w:bCs/>
          <w:iCs/>
          <w:sz w:val="20"/>
          <w:lang w:val="en-AU" w:eastAsia="ja-JP"/>
        </w:rPr>
        <w:t>Based on the technical study findings, it is considered that the site is not constrained by any</w:t>
      </w:r>
      <w:r>
        <w:rPr>
          <w:rFonts w:ascii="Arial" w:eastAsiaTheme="minorEastAsia" w:hAnsi="Arial" w:cs="Arial"/>
          <w:bCs/>
          <w:iCs/>
          <w:sz w:val="20"/>
          <w:lang w:val="en-AU" w:eastAsia="ja-JP"/>
        </w:rPr>
        <w:t xml:space="preserve"> </w:t>
      </w:r>
      <w:r w:rsidRPr="00DB4EF8">
        <w:rPr>
          <w:rFonts w:ascii="Arial" w:eastAsiaTheme="minorEastAsia" w:hAnsi="Arial" w:cs="Arial"/>
          <w:bCs/>
          <w:iCs/>
          <w:sz w:val="20"/>
          <w:lang w:val="en-AU" w:eastAsia="ja-JP"/>
        </w:rPr>
        <w:t>known environmental values, resources or</w:t>
      </w:r>
      <w:r w:rsidR="001C11C8" w:rsidRPr="001C11C8">
        <w:t xml:space="preserve"> </w:t>
      </w:r>
      <w:r w:rsidR="001C11C8" w:rsidRPr="001C11C8">
        <w:rPr>
          <w:rFonts w:ascii="Arial" w:eastAsiaTheme="minorEastAsia" w:hAnsi="Arial" w:cs="Arial"/>
          <w:bCs/>
          <w:iCs/>
          <w:sz w:val="20"/>
          <w:lang w:val="en-AU" w:eastAsia="ja-JP"/>
        </w:rPr>
        <w:t>hazards and that rezoning of the site for</w:t>
      </w:r>
      <w:r w:rsidR="001C11C8">
        <w:rPr>
          <w:rFonts w:ascii="Arial" w:eastAsiaTheme="minorEastAsia" w:hAnsi="Arial" w:cs="Arial"/>
          <w:bCs/>
          <w:iCs/>
          <w:sz w:val="20"/>
          <w:lang w:val="en-AU" w:eastAsia="ja-JP"/>
        </w:rPr>
        <w:t xml:space="preserve"> </w:t>
      </w:r>
      <w:r w:rsidR="001C11C8" w:rsidRPr="001C11C8">
        <w:rPr>
          <w:rFonts w:ascii="Arial" w:eastAsiaTheme="minorEastAsia" w:hAnsi="Arial" w:cs="Arial"/>
          <w:bCs/>
          <w:iCs/>
          <w:sz w:val="20"/>
          <w:lang w:val="en-AU" w:eastAsia="ja-JP"/>
        </w:rPr>
        <w:t>residential/mixed-use purposes can proceed.</w:t>
      </w:r>
    </w:p>
    <w:p w14:paraId="1FE8B5C8" w14:textId="4C9F2E5C" w:rsidR="00B70B75" w:rsidRDefault="001C11C8" w:rsidP="001C11C8">
      <w:pPr>
        <w:rPr>
          <w:rFonts w:ascii="Arial" w:eastAsiaTheme="minorEastAsia" w:hAnsi="Arial" w:cs="Arial"/>
          <w:bCs/>
          <w:iCs/>
          <w:sz w:val="20"/>
          <w:lang w:val="en-AU" w:eastAsia="ja-JP"/>
        </w:rPr>
      </w:pPr>
      <w:r>
        <w:rPr>
          <w:rFonts w:ascii="Arial" w:eastAsiaTheme="minorEastAsia" w:hAnsi="Arial" w:cs="Arial"/>
          <w:bCs/>
          <w:iCs/>
          <w:sz w:val="20"/>
          <w:lang w:val="en-AU" w:eastAsia="ja-JP"/>
        </w:rPr>
        <w:t>Further consultation will need to be conducted with Sydney Water regarding the odour buffer from its Liverpool wastewater treatment plant.</w:t>
      </w:r>
    </w:p>
    <w:p w14:paraId="46E322FB" w14:textId="576E71BA" w:rsidR="00444A63" w:rsidRPr="00372456" w:rsidRDefault="00444A63" w:rsidP="00037AA1">
      <w:pPr>
        <w:pStyle w:val="ListParagraph"/>
        <w:numPr>
          <w:ilvl w:val="0"/>
          <w:numId w:val="8"/>
        </w:numPr>
        <w:jc w:val="both"/>
        <w:rPr>
          <w:rFonts w:ascii="Arial" w:eastAsiaTheme="minorEastAsia" w:hAnsi="Arial" w:cs="Arial"/>
          <w:bCs/>
          <w:i/>
          <w:iCs/>
          <w:color w:val="7030A0"/>
          <w:sz w:val="20"/>
          <w:lang w:val="en-AU" w:eastAsia="ja-JP"/>
        </w:rPr>
      </w:pPr>
      <w:r w:rsidRPr="00372456">
        <w:rPr>
          <w:rFonts w:ascii="Arial" w:eastAsiaTheme="minorEastAsia" w:hAnsi="Arial" w:cs="Arial"/>
          <w:bCs/>
          <w:i/>
          <w:iCs/>
          <w:color w:val="7030A0"/>
          <w:sz w:val="20"/>
          <w:lang w:val="en-AU" w:eastAsia="ja-JP"/>
        </w:rPr>
        <w:t>The existing uses, approved uses, and likely future uses of land in the vicinity of the proposal; and</w:t>
      </w:r>
    </w:p>
    <w:p w14:paraId="770BA3BE" w14:textId="44E3D922" w:rsidR="00BA3679" w:rsidRPr="00BA3679" w:rsidRDefault="00BA3679" w:rsidP="00BA3679">
      <w:pPr>
        <w:rPr>
          <w:rFonts w:ascii="Arial" w:eastAsiaTheme="minorEastAsia" w:hAnsi="Arial" w:cs="Arial"/>
          <w:bCs/>
          <w:iCs/>
          <w:sz w:val="20"/>
          <w:lang w:val="en-AU" w:eastAsia="ja-JP"/>
        </w:rPr>
      </w:pPr>
      <w:r w:rsidRPr="00BA3679">
        <w:rPr>
          <w:rFonts w:ascii="Arial" w:eastAsiaTheme="minorEastAsia" w:hAnsi="Arial" w:cs="Arial"/>
          <w:bCs/>
          <w:iCs/>
          <w:sz w:val="20"/>
          <w:lang w:val="en-AU" w:eastAsia="ja-JP"/>
        </w:rPr>
        <w:t>Moore Point has traditionally been dominated by monofunctional industrial uses. As such, the</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prescribed land use and development standards for the site fail to respond to the growing role</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of Liverpool CBD, the Innovation Precinct and broader strategic vision for the Liverpool</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Collaboration Area. Overall, the existing uses on the land do not represent the desired future</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uses.</w:t>
      </w:r>
    </w:p>
    <w:p w14:paraId="7C4ABD35" w14:textId="77777777" w:rsidR="00BC6651" w:rsidRDefault="00BA3679" w:rsidP="00BA3679">
      <w:pPr>
        <w:rPr>
          <w:rFonts w:ascii="Arial" w:eastAsiaTheme="minorEastAsia" w:hAnsi="Arial" w:cs="Arial"/>
          <w:bCs/>
          <w:iCs/>
          <w:sz w:val="20"/>
          <w:lang w:val="en-AU" w:eastAsia="ja-JP"/>
        </w:rPr>
      </w:pPr>
      <w:r w:rsidRPr="00BA3679">
        <w:rPr>
          <w:rFonts w:ascii="Arial" w:eastAsiaTheme="minorEastAsia" w:hAnsi="Arial" w:cs="Arial"/>
          <w:bCs/>
          <w:iCs/>
          <w:sz w:val="20"/>
          <w:lang w:val="en-AU" w:eastAsia="ja-JP"/>
        </w:rPr>
        <w:t>Under the Place Strategy, it is envisaged that Liverpool will become a rejuvenated river city,</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providing diverse growing residential and employment opportunities in tandem with an</w:t>
      </w:r>
      <w:r>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integrated network of open spaces along the Georges River.</w:t>
      </w:r>
      <w:r>
        <w:rPr>
          <w:rFonts w:ascii="Arial" w:eastAsiaTheme="minorEastAsia" w:hAnsi="Arial" w:cs="Arial"/>
          <w:bCs/>
          <w:iCs/>
          <w:sz w:val="20"/>
          <w:lang w:val="en-AU" w:eastAsia="ja-JP"/>
        </w:rPr>
        <w:t xml:space="preserve"> </w:t>
      </w:r>
    </w:p>
    <w:p w14:paraId="5C5A88C6" w14:textId="50C2807B" w:rsidR="00BA3679" w:rsidRPr="00BA3679" w:rsidRDefault="00BA3679" w:rsidP="00BA3679">
      <w:pPr>
        <w:rPr>
          <w:rFonts w:ascii="Arial" w:eastAsiaTheme="minorEastAsia" w:hAnsi="Arial" w:cs="Arial"/>
          <w:bCs/>
          <w:iCs/>
          <w:sz w:val="20"/>
          <w:lang w:val="en-AU" w:eastAsia="ja-JP"/>
        </w:rPr>
      </w:pPr>
      <w:r w:rsidRPr="00BA3679">
        <w:rPr>
          <w:rFonts w:ascii="Arial" w:eastAsiaTheme="minorEastAsia" w:hAnsi="Arial" w:cs="Arial"/>
          <w:bCs/>
          <w:iCs/>
          <w:sz w:val="20"/>
          <w:lang w:val="en-AU" w:eastAsia="ja-JP"/>
        </w:rPr>
        <w:t>The Planning Proposal will facilitate land uses conducive to the vision for Liverpool and will</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become a thriving residential and mixed-use precinct that complements Liverpool CBD. This</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will be achieved through the B4 mixed-use and B6 Enterprise Corridor zoning to facilitate a mix</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 xml:space="preserve">of residential towers and a </w:t>
      </w:r>
      <w:r w:rsidRPr="00BA3679">
        <w:rPr>
          <w:rFonts w:ascii="Arial" w:eastAsiaTheme="minorEastAsia" w:hAnsi="Arial" w:cs="Arial"/>
          <w:bCs/>
          <w:iCs/>
          <w:sz w:val="20"/>
          <w:lang w:val="en-AU" w:eastAsia="ja-JP"/>
        </w:rPr>
        <w:lastRenderedPageBreak/>
        <w:t>genuine mix of commercial offerings including tourism and visitor</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accommodation, serviced apartments, seniors living, commercial, business and retail uses.</w:t>
      </w:r>
    </w:p>
    <w:p w14:paraId="1B1D9308" w14:textId="663BAB49" w:rsidR="00BA3679" w:rsidRPr="00BA3679" w:rsidRDefault="00BA3679" w:rsidP="00BA3679">
      <w:pPr>
        <w:rPr>
          <w:rFonts w:ascii="Arial" w:eastAsiaTheme="minorEastAsia" w:hAnsi="Arial" w:cs="Arial"/>
          <w:bCs/>
          <w:iCs/>
          <w:sz w:val="20"/>
          <w:lang w:val="en-AU" w:eastAsia="ja-JP"/>
        </w:rPr>
      </w:pPr>
      <w:r w:rsidRPr="00BA3679">
        <w:rPr>
          <w:rFonts w:ascii="Arial" w:eastAsiaTheme="minorEastAsia" w:hAnsi="Arial" w:cs="Arial"/>
          <w:bCs/>
          <w:iCs/>
          <w:sz w:val="20"/>
          <w:lang w:val="en-AU" w:eastAsia="ja-JP"/>
        </w:rPr>
        <w:t>Key to the Planning Proposal is the proposed Georges River foreshore remediation, which will</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establish a contiguous foreshore link from Haigh Park to Lighthorse Park. This will be supported</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by 7km of cycle/pedestrian paths as well as new bridge crossings to Liverpool CBD and</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transport interchange.</w:t>
      </w:r>
    </w:p>
    <w:p w14:paraId="583F50E3" w14:textId="68961A37" w:rsidR="00444A63" w:rsidRDefault="00BA3679" w:rsidP="00BA3679">
      <w:pPr>
        <w:rPr>
          <w:rFonts w:ascii="Arial" w:eastAsiaTheme="minorEastAsia" w:hAnsi="Arial" w:cs="Arial"/>
          <w:bCs/>
          <w:iCs/>
          <w:sz w:val="20"/>
          <w:lang w:val="en-AU" w:eastAsia="ja-JP"/>
        </w:rPr>
      </w:pPr>
      <w:r w:rsidRPr="00BA3679">
        <w:rPr>
          <w:rFonts w:ascii="Arial" w:eastAsiaTheme="minorEastAsia" w:hAnsi="Arial" w:cs="Arial"/>
          <w:bCs/>
          <w:iCs/>
          <w:sz w:val="20"/>
          <w:lang w:val="en-AU" w:eastAsia="ja-JP"/>
        </w:rPr>
        <w:t>This ensures the Planning Proposal complements future land uses within the vicinity of the</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proposal, such as the growing innovation/research/health and advanced manufacturing</w:t>
      </w:r>
      <w:r w:rsidR="00BC6651">
        <w:rPr>
          <w:rFonts w:ascii="Arial" w:eastAsiaTheme="minorEastAsia" w:hAnsi="Arial" w:cs="Arial"/>
          <w:bCs/>
          <w:iCs/>
          <w:sz w:val="20"/>
          <w:lang w:val="en-AU" w:eastAsia="ja-JP"/>
        </w:rPr>
        <w:t xml:space="preserve"> </w:t>
      </w:r>
      <w:r w:rsidRPr="00BA3679">
        <w:rPr>
          <w:rFonts w:ascii="Arial" w:eastAsiaTheme="minorEastAsia" w:hAnsi="Arial" w:cs="Arial"/>
          <w:bCs/>
          <w:iCs/>
          <w:sz w:val="20"/>
          <w:lang w:val="en-AU" w:eastAsia="ja-JP"/>
        </w:rPr>
        <w:t>precinct north of the site and broadly aligns with a holistic planning outcome for the area.</w:t>
      </w:r>
      <w:r w:rsidR="0068134F">
        <w:rPr>
          <w:rFonts w:ascii="Arial" w:eastAsiaTheme="minorEastAsia" w:hAnsi="Arial" w:cs="Arial"/>
          <w:bCs/>
          <w:iCs/>
          <w:sz w:val="20"/>
          <w:lang w:val="en-AU" w:eastAsia="ja-JP"/>
        </w:rPr>
        <w:t xml:space="preserve"> </w:t>
      </w:r>
    </w:p>
    <w:p w14:paraId="6BCEE886" w14:textId="77777777" w:rsidR="00BA3679" w:rsidRPr="00444A63" w:rsidRDefault="00BA3679" w:rsidP="00444A63">
      <w:pPr>
        <w:rPr>
          <w:rFonts w:ascii="Arial" w:eastAsiaTheme="minorEastAsia" w:hAnsi="Arial" w:cs="Arial"/>
          <w:bCs/>
          <w:iCs/>
          <w:sz w:val="20"/>
          <w:lang w:val="en-AU" w:eastAsia="ja-JP"/>
        </w:rPr>
      </w:pPr>
    </w:p>
    <w:p w14:paraId="100F05FC" w14:textId="0B0F3F2E" w:rsidR="00444A63" w:rsidRPr="00372456" w:rsidRDefault="00444A63" w:rsidP="00037AA1">
      <w:pPr>
        <w:pStyle w:val="ListParagraph"/>
        <w:numPr>
          <w:ilvl w:val="0"/>
          <w:numId w:val="8"/>
        </w:numPr>
        <w:jc w:val="both"/>
        <w:rPr>
          <w:rFonts w:ascii="Arial" w:eastAsiaTheme="minorEastAsia" w:hAnsi="Arial" w:cs="Arial"/>
          <w:bCs/>
          <w:i/>
          <w:iCs/>
          <w:color w:val="7030A0"/>
          <w:sz w:val="20"/>
          <w:lang w:val="en-AU" w:eastAsia="ja-JP"/>
        </w:rPr>
      </w:pPr>
      <w:r w:rsidRPr="00372456">
        <w:rPr>
          <w:rFonts w:ascii="Arial" w:eastAsiaTheme="minorEastAsia" w:hAnsi="Arial" w:cs="Arial"/>
          <w:bCs/>
          <w:i/>
          <w:iCs/>
          <w:color w:val="7030A0"/>
          <w:sz w:val="20"/>
          <w:lang w:val="en-AU" w:eastAsia="ja-JP"/>
        </w:rPr>
        <w:t>The services and infrastructure that are or will be available to meet the demands arising from the proposal and any proposed financial arrangements for infrastructure provision?</w:t>
      </w:r>
    </w:p>
    <w:p w14:paraId="4D896233" w14:textId="11C96AF2" w:rsidR="00534A53" w:rsidRPr="00534A53" w:rsidRDefault="005056C1" w:rsidP="00534A53">
      <w:pPr>
        <w:rPr>
          <w:rFonts w:ascii="Arial" w:eastAsiaTheme="minorEastAsia" w:hAnsi="Arial" w:cs="Arial"/>
          <w:bCs/>
          <w:iCs/>
          <w:sz w:val="20"/>
          <w:lang w:val="en-AU" w:eastAsia="ja-JP"/>
        </w:rPr>
      </w:pPr>
      <w:r>
        <w:rPr>
          <w:rFonts w:ascii="Arial" w:eastAsiaTheme="minorEastAsia" w:hAnsi="Arial" w:cs="Arial"/>
          <w:bCs/>
          <w:iCs/>
          <w:sz w:val="20"/>
          <w:lang w:val="en-AU" w:eastAsia="ja-JP"/>
        </w:rPr>
        <w:t>T</w:t>
      </w:r>
      <w:r w:rsidRPr="00444A63">
        <w:rPr>
          <w:rFonts w:ascii="Arial" w:eastAsiaTheme="minorEastAsia" w:hAnsi="Arial" w:cs="Arial"/>
          <w:bCs/>
          <w:iCs/>
          <w:sz w:val="20"/>
          <w:lang w:val="en-AU" w:eastAsia="ja-JP"/>
        </w:rPr>
        <w:t xml:space="preserve">he </w:t>
      </w:r>
      <w:r w:rsidR="00534A53" w:rsidRPr="00534A53">
        <w:rPr>
          <w:rFonts w:ascii="Arial" w:eastAsiaTheme="minorEastAsia" w:hAnsi="Arial" w:cs="Arial"/>
          <w:bCs/>
          <w:iCs/>
          <w:sz w:val="20"/>
          <w:lang w:val="en-AU" w:eastAsia="ja-JP"/>
        </w:rPr>
        <w:t>proposed future infrastructure provision associated with future staging and development of</w:t>
      </w:r>
      <w:r w:rsidR="00534A53">
        <w:rPr>
          <w:rFonts w:ascii="Arial" w:eastAsiaTheme="minorEastAsia" w:hAnsi="Arial" w:cs="Arial"/>
          <w:bCs/>
          <w:iCs/>
          <w:sz w:val="20"/>
          <w:lang w:val="en-AU" w:eastAsia="ja-JP"/>
        </w:rPr>
        <w:t xml:space="preserve"> </w:t>
      </w:r>
      <w:r w:rsidR="00534A53" w:rsidRPr="00534A53">
        <w:rPr>
          <w:rFonts w:ascii="Arial" w:eastAsiaTheme="minorEastAsia" w:hAnsi="Arial" w:cs="Arial"/>
          <w:bCs/>
          <w:iCs/>
          <w:sz w:val="20"/>
          <w:lang w:val="en-AU" w:eastAsia="ja-JP"/>
        </w:rPr>
        <w:t>Moore Point. This is considered with respect to utilities, transport infrastructure and social</w:t>
      </w:r>
      <w:r w:rsidR="00534A53">
        <w:rPr>
          <w:rFonts w:ascii="Arial" w:eastAsiaTheme="minorEastAsia" w:hAnsi="Arial" w:cs="Arial"/>
          <w:bCs/>
          <w:iCs/>
          <w:sz w:val="20"/>
          <w:lang w:val="en-AU" w:eastAsia="ja-JP"/>
        </w:rPr>
        <w:t xml:space="preserve"> </w:t>
      </w:r>
      <w:r w:rsidR="00534A53" w:rsidRPr="00534A53">
        <w:rPr>
          <w:rFonts w:ascii="Arial" w:eastAsiaTheme="minorEastAsia" w:hAnsi="Arial" w:cs="Arial"/>
          <w:bCs/>
          <w:iCs/>
          <w:sz w:val="20"/>
          <w:lang w:val="en-AU" w:eastAsia="ja-JP"/>
        </w:rPr>
        <w:t>infrastructure.</w:t>
      </w:r>
    </w:p>
    <w:p w14:paraId="2A892D33" w14:textId="77777777" w:rsidR="00534A53" w:rsidRPr="00534A53" w:rsidRDefault="00534A53" w:rsidP="00534A53">
      <w:pPr>
        <w:rPr>
          <w:rFonts w:ascii="Arial" w:eastAsiaTheme="minorEastAsia" w:hAnsi="Arial" w:cs="Arial"/>
          <w:b/>
          <w:iCs/>
          <w:sz w:val="20"/>
          <w:lang w:val="en-AU" w:eastAsia="ja-JP"/>
        </w:rPr>
      </w:pPr>
      <w:r w:rsidRPr="00534A53">
        <w:rPr>
          <w:rFonts w:ascii="Arial" w:eastAsiaTheme="minorEastAsia" w:hAnsi="Arial" w:cs="Arial"/>
          <w:b/>
          <w:iCs/>
          <w:sz w:val="20"/>
          <w:lang w:val="en-AU" w:eastAsia="ja-JP"/>
        </w:rPr>
        <w:t>Utilities</w:t>
      </w:r>
    </w:p>
    <w:p w14:paraId="583D3DE1" w14:textId="0957DEA0"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With respect to services and utilities, ADW Johnson confirms all authorities have advised that</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they can service the proposed overall development outcome. In some cases, upgrades to the</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existing network will be required. This is summarised below.</w:t>
      </w:r>
    </w:p>
    <w:p w14:paraId="407BC5E4" w14:textId="77777777" w:rsidR="00534A53" w:rsidRPr="00534A53" w:rsidRDefault="00534A53" w:rsidP="00534A53">
      <w:pPr>
        <w:rPr>
          <w:rFonts w:ascii="Arial" w:eastAsiaTheme="minorEastAsia" w:hAnsi="Arial" w:cs="Arial"/>
          <w:bCs/>
          <w:iCs/>
          <w:sz w:val="20"/>
          <w:u w:val="single"/>
          <w:lang w:val="en-AU" w:eastAsia="ja-JP"/>
        </w:rPr>
      </w:pPr>
      <w:r w:rsidRPr="00534A53">
        <w:rPr>
          <w:rFonts w:ascii="Arial" w:eastAsiaTheme="minorEastAsia" w:hAnsi="Arial" w:cs="Arial"/>
          <w:bCs/>
          <w:iCs/>
          <w:sz w:val="20"/>
          <w:u w:val="single"/>
          <w:lang w:val="en-AU" w:eastAsia="ja-JP"/>
        </w:rPr>
        <w:t>Sydney Water</w:t>
      </w:r>
    </w:p>
    <w:p w14:paraId="67639DE8" w14:textId="415B3D5B" w:rsidR="00534A53" w:rsidRPr="00534A53" w:rsidRDefault="00534A53" w:rsidP="00534A53">
      <w:pPr>
        <w:pStyle w:val="ListParagraph"/>
        <w:numPr>
          <w:ilvl w:val="0"/>
          <w:numId w:val="8"/>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Upgrade of potable water supply likely;</w:t>
      </w:r>
    </w:p>
    <w:p w14:paraId="73ADC490" w14:textId="13AE258A" w:rsidR="00534A53" w:rsidRPr="00534A53" w:rsidRDefault="00534A53" w:rsidP="00534A53">
      <w:pPr>
        <w:pStyle w:val="ListParagraph"/>
        <w:numPr>
          <w:ilvl w:val="0"/>
          <w:numId w:val="8"/>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Major upgrade of existing pumping station to be completed to service development.</w:t>
      </w:r>
    </w:p>
    <w:p w14:paraId="72C83651" w14:textId="2D6ABFF9"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The upgrade works will be completed by Sydney Water and take an estimated 3 years</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from concept to completion.</w:t>
      </w:r>
    </w:p>
    <w:p w14:paraId="05D8B6D8" w14:textId="77777777" w:rsidR="00534A53" w:rsidRPr="00534A53" w:rsidRDefault="00534A53" w:rsidP="00534A53">
      <w:pPr>
        <w:rPr>
          <w:rFonts w:ascii="Arial" w:eastAsiaTheme="minorEastAsia" w:hAnsi="Arial" w:cs="Arial"/>
          <w:bCs/>
          <w:iCs/>
          <w:sz w:val="20"/>
          <w:u w:val="single"/>
          <w:lang w:val="en-AU" w:eastAsia="ja-JP"/>
        </w:rPr>
      </w:pPr>
      <w:r w:rsidRPr="00534A53">
        <w:rPr>
          <w:rFonts w:ascii="Arial" w:eastAsiaTheme="minorEastAsia" w:hAnsi="Arial" w:cs="Arial"/>
          <w:bCs/>
          <w:iCs/>
          <w:sz w:val="20"/>
          <w:u w:val="single"/>
          <w:lang w:val="en-AU" w:eastAsia="ja-JP"/>
        </w:rPr>
        <w:t>Endeavour</w:t>
      </w:r>
    </w:p>
    <w:p w14:paraId="65EB21DB" w14:textId="66A8768E" w:rsidR="00534A53" w:rsidRPr="00534A53" w:rsidRDefault="00534A53" w:rsidP="00534A53">
      <w:pPr>
        <w:pStyle w:val="ListParagraph"/>
        <w:numPr>
          <w:ilvl w:val="0"/>
          <w:numId w:val="50"/>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Eight new 11kV feeders from Moorebank Zone Substation;</w:t>
      </w:r>
    </w:p>
    <w:p w14:paraId="087EC0E7" w14:textId="0FC810DA" w:rsidR="00534A53" w:rsidRPr="00534A53" w:rsidRDefault="00534A53" w:rsidP="00534A53">
      <w:pPr>
        <w:pStyle w:val="ListParagraph"/>
        <w:numPr>
          <w:ilvl w:val="0"/>
          <w:numId w:val="50"/>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Six new circuit breaker terminations at Moorebank Zone Substation; and</w:t>
      </w:r>
    </w:p>
    <w:p w14:paraId="01BB1871" w14:textId="40297AC2" w:rsidR="00534A53" w:rsidRPr="00534A53" w:rsidRDefault="00534A53" w:rsidP="00534A53">
      <w:pPr>
        <w:pStyle w:val="ListParagraph"/>
        <w:numPr>
          <w:ilvl w:val="0"/>
          <w:numId w:val="50"/>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Two new switching stations at Moorebank Zone Substation.</w:t>
      </w:r>
    </w:p>
    <w:p w14:paraId="01A55536" w14:textId="77777777" w:rsidR="00534A53" w:rsidRPr="00534A53" w:rsidRDefault="00534A53" w:rsidP="00534A53">
      <w:pPr>
        <w:rPr>
          <w:rFonts w:ascii="Arial" w:eastAsiaTheme="minorEastAsia" w:hAnsi="Arial" w:cs="Arial"/>
          <w:bCs/>
          <w:iCs/>
          <w:sz w:val="20"/>
          <w:u w:val="single"/>
          <w:lang w:val="en-AU" w:eastAsia="ja-JP"/>
        </w:rPr>
      </w:pPr>
      <w:r w:rsidRPr="00534A53">
        <w:rPr>
          <w:rFonts w:ascii="Arial" w:eastAsiaTheme="minorEastAsia" w:hAnsi="Arial" w:cs="Arial"/>
          <w:bCs/>
          <w:iCs/>
          <w:sz w:val="20"/>
          <w:u w:val="single"/>
          <w:lang w:val="en-AU" w:eastAsia="ja-JP"/>
        </w:rPr>
        <w:t>NBN Co</w:t>
      </w:r>
    </w:p>
    <w:p w14:paraId="4CB004A1" w14:textId="71F7CFE5"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Fibre connecting the site to the existing Liverpool Fibre Access Node (FAN) to be constructed by NBN</w:t>
      </w:r>
      <w:r>
        <w:rPr>
          <w:rFonts w:ascii="Arial" w:eastAsiaTheme="minorEastAsia" w:hAnsi="Arial" w:cs="Arial"/>
          <w:bCs/>
          <w:iCs/>
          <w:sz w:val="20"/>
          <w:lang w:val="en-AU" w:eastAsia="ja-JP"/>
        </w:rPr>
        <w:t>.</w:t>
      </w:r>
    </w:p>
    <w:p w14:paraId="17AE78AC" w14:textId="77777777" w:rsidR="00534A53" w:rsidRPr="00534A53" w:rsidRDefault="00534A53" w:rsidP="00534A53">
      <w:pPr>
        <w:rPr>
          <w:rFonts w:ascii="Arial" w:eastAsiaTheme="minorEastAsia" w:hAnsi="Arial" w:cs="Arial"/>
          <w:bCs/>
          <w:iCs/>
          <w:sz w:val="20"/>
          <w:u w:val="single"/>
          <w:lang w:val="en-AU" w:eastAsia="ja-JP"/>
        </w:rPr>
      </w:pPr>
      <w:r w:rsidRPr="00534A53">
        <w:rPr>
          <w:rFonts w:ascii="Arial" w:eastAsiaTheme="minorEastAsia" w:hAnsi="Arial" w:cs="Arial"/>
          <w:bCs/>
          <w:iCs/>
          <w:sz w:val="20"/>
          <w:u w:val="single"/>
          <w:lang w:val="en-AU" w:eastAsia="ja-JP"/>
        </w:rPr>
        <w:t>Jemena</w:t>
      </w:r>
    </w:p>
    <w:p w14:paraId="1B580C58" w14:textId="6091B5A1"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Installation of below-ground regulator station.</w:t>
      </w:r>
    </w:p>
    <w:p w14:paraId="1BDE45BE" w14:textId="77777777" w:rsidR="00534A53" w:rsidRPr="00534A53" w:rsidRDefault="00534A53" w:rsidP="00534A53">
      <w:pPr>
        <w:rPr>
          <w:rFonts w:ascii="Arial" w:eastAsiaTheme="minorEastAsia" w:hAnsi="Arial" w:cs="Arial"/>
          <w:b/>
          <w:iCs/>
          <w:sz w:val="20"/>
          <w:lang w:val="en-AU" w:eastAsia="ja-JP"/>
        </w:rPr>
      </w:pPr>
      <w:r w:rsidRPr="00534A53">
        <w:rPr>
          <w:rFonts w:ascii="Arial" w:eastAsiaTheme="minorEastAsia" w:hAnsi="Arial" w:cs="Arial"/>
          <w:b/>
          <w:iCs/>
          <w:sz w:val="20"/>
          <w:lang w:val="en-AU" w:eastAsia="ja-JP"/>
        </w:rPr>
        <w:t>Social Infrastructure</w:t>
      </w:r>
    </w:p>
    <w:p w14:paraId="0B544633" w14:textId="2CC9DF95"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Cred Consulting have reviewed the Planning Proposal and supporting masterplan to identify</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the following social infrastructure requirements to support Moore Point. These include:</w:t>
      </w:r>
    </w:p>
    <w:p w14:paraId="3B15D9DC" w14:textId="4118B650"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New multipurpose community hub – approx. 2000m2;</w:t>
      </w:r>
    </w:p>
    <w:p w14:paraId="5053A3C3" w14:textId="49A3DDBC"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New local facility with indoor and outdoor space – approx. 400m2;</w:t>
      </w:r>
    </w:p>
    <w:p w14:paraId="291CE75B" w14:textId="15A4F845"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lastRenderedPageBreak/>
        <w:t>Repurposing Moorebank Library and Community Centre to a district level multipurpose library facility – approx. 598m2 to 2036 and 1,365m2 to 2051;</w:t>
      </w:r>
    </w:p>
    <w:p w14:paraId="54E44D4C" w14:textId="30197A7B"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Deliver 1 new primary school, including Out of School Hours Care built facility;</w:t>
      </w:r>
    </w:p>
    <w:p w14:paraId="55764223" w14:textId="2F0808FB"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Provision of quality early education and childcare centres (under 90 places);</w:t>
      </w:r>
    </w:p>
    <w:p w14:paraId="2350037B" w14:textId="430B4B6D"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Deliver a total of at least 7.7. hectares of new quality open space. Should be delivered as 6.2 hectare of local parks of a minimum size of 0.3 hectares to 0.5 hectares. Parks should be within 200m of resident homes;</w:t>
      </w:r>
    </w:p>
    <w:p w14:paraId="4FA24526" w14:textId="37B81E54"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Deliver up to 3 new (or embellished) district sports-fields including:</w:t>
      </w:r>
    </w:p>
    <w:p w14:paraId="1F4396E0" w14:textId="47520DE4"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1 new sports-field space within the precinct up to 2051;</w:t>
      </w:r>
    </w:p>
    <w:p w14:paraId="397D81D8" w14:textId="6C717E04"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Embellishments to Haigh Park to deliver additional sports-fields for informal team sports by 2036;</w:t>
      </w:r>
    </w:p>
    <w:p w14:paraId="1EEB1336" w14:textId="6419CB59"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Protection and enhancement of Satyam Ghat.</w:t>
      </w:r>
    </w:p>
    <w:p w14:paraId="012E9878" w14:textId="519AB960"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Up to 4.5/5 playgrounds for young children (0 to 4) by 2051 and up to 4 playgrounds for older children (5 to 11) by 2051 located throughout the precinct next to new open spaces;</w:t>
      </w:r>
    </w:p>
    <w:p w14:paraId="41DE542D" w14:textId="16FB2407"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Up to 1 regional/district level outdoor youth recreation precinct. This could be provided through embellishment to existing Kelso Skate Park or through a new youth focused outdoor recreation space;</w:t>
      </w:r>
    </w:p>
    <w:p w14:paraId="6811862A" w14:textId="712EA883"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1 indoor recreation centre providing up to 4 indoor courts that support a range of culturally appropriate sports such as futsal, indoor volleyball, badminton and table tennis;</w:t>
      </w:r>
    </w:p>
    <w:p w14:paraId="68EB2F7A" w14:textId="12881644"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Provision of a water launch point for passive boating and viewing decks for passive recreation and fishing at Lake Moore;</w:t>
      </w:r>
    </w:p>
    <w:p w14:paraId="21893982" w14:textId="4A9E0A7D"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Communal pools or a contribution to improving facilities at Whitlam Centre;</w:t>
      </w:r>
    </w:p>
    <w:p w14:paraId="4DF6245E" w14:textId="77777777"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Provision of communal facilities within residential towers; and</w:t>
      </w:r>
    </w:p>
    <w:p w14:paraId="6CCC0505" w14:textId="76DE02DC" w:rsidR="00534A53" w:rsidRPr="00534A53" w:rsidRDefault="00534A53" w:rsidP="00534A53">
      <w:pPr>
        <w:pStyle w:val="ListParagraph"/>
        <w:numPr>
          <w:ilvl w:val="0"/>
          <w:numId w:val="51"/>
        </w:num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5% of affordable housing for key workers.</w:t>
      </w:r>
    </w:p>
    <w:p w14:paraId="3C512DE6" w14:textId="402A269B"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The Planning Proposal is capable of delivering upon many, if not all, of the community</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infrastructure items recommended by Cred and are detailed within the masterplan.</w:t>
      </w:r>
    </w:p>
    <w:p w14:paraId="35D51DEE" w14:textId="67FC16C8"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Infrastructure funding for specific items will be dealt with separately through a site-specific</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Section 7.11 Contributions Plan to be prepared in collaboration with Council following</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Gateway Determination.</w:t>
      </w:r>
      <w:r w:rsidR="004D7EF1">
        <w:rPr>
          <w:rFonts w:ascii="Arial" w:eastAsiaTheme="minorEastAsia" w:hAnsi="Arial" w:cs="Arial"/>
          <w:bCs/>
          <w:iCs/>
          <w:sz w:val="20"/>
          <w:lang w:val="en-AU" w:eastAsia="ja-JP"/>
        </w:rPr>
        <w:t xml:space="preserve"> A letter of offer has been received for items unable to be funded through a Section 7.11 Contributions Plan.</w:t>
      </w:r>
    </w:p>
    <w:p w14:paraId="6DCACC1B" w14:textId="195C6235"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Specific to the Planning Proposal, items captured through the Contributions Plan that align</w:t>
      </w:r>
      <w:r>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with Cred</w:t>
      </w:r>
      <w:r>
        <w:rPr>
          <w:rFonts w:ascii="Arial" w:eastAsiaTheme="minorEastAsia" w:hAnsi="Arial" w:cs="Arial"/>
          <w:bCs/>
          <w:iCs/>
          <w:sz w:val="20"/>
          <w:lang w:val="en-AU" w:eastAsia="ja-JP"/>
        </w:rPr>
        <w:t>’</w:t>
      </w:r>
      <w:r w:rsidRPr="00534A53">
        <w:rPr>
          <w:rFonts w:ascii="Arial" w:eastAsiaTheme="minorEastAsia" w:hAnsi="Arial" w:cs="Arial"/>
          <w:bCs/>
          <w:iCs/>
          <w:sz w:val="20"/>
          <w:lang w:val="en-AU" w:eastAsia="ja-JP"/>
        </w:rPr>
        <w:t>s recommendations could include:</w:t>
      </w:r>
    </w:p>
    <w:p w14:paraId="1805241E" w14:textId="3D90015B"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Multi-purpose community centres;</w:t>
      </w:r>
    </w:p>
    <w:p w14:paraId="18475390" w14:textId="489C775F"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Rehabilitation and embellishment of the Georges River foreshore and Lake Moore;</w:t>
      </w:r>
    </w:p>
    <w:p w14:paraId="035D8BCA" w14:textId="4A9BC7D7"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Pedestrian bridge from Moore Point to Liverpool CBD;</w:t>
      </w:r>
    </w:p>
    <w:p w14:paraId="0559D364" w14:textId="6C45DDC5"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 xml:space="preserve">Dedicated pedestrian and cycle paths; </w:t>
      </w:r>
    </w:p>
    <w:p w14:paraId="4423BF29" w14:textId="5A1F7F0C"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Creation of new open space along Georges River foreshore;</w:t>
      </w:r>
    </w:p>
    <w:p w14:paraId="2A949B6A" w14:textId="3396333C"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Heritage conservation and adaptive re-use of existing heritage building as new marketplace;</w:t>
      </w:r>
    </w:p>
    <w:p w14:paraId="221B02CF" w14:textId="1E5D49E0"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Embellishment and upgrade of existing local open spaces in the surrounding locality;</w:t>
      </w:r>
    </w:p>
    <w:p w14:paraId="014775C0" w14:textId="0A4DD2CC"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Intersection upgrade works at Newbridge Road; and</w:t>
      </w:r>
    </w:p>
    <w:p w14:paraId="2D7D0338" w14:textId="1E9C4669" w:rsidR="00534A53" w:rsidRPr="004D7EF1" w:rsidRDefault="00534A53" w:rsidP="004D7EF1">
      <w:pPr>
        <w:pStyle w:val="ListParagraph"/>
        <w:numPr>
          <w:ilvl w:val="0"/>
          <w:numId w:val="52"/>
        </w:numPr>
        <w:rPr>
          <w:rFonts w:ascii="Arial" w:eastAsiaTheme="minorEastAsia" w:hAnsi="Arial" w:cs="Arial"/>
          <w:bCs/>
          <w:iCs/>
          <w:sz w:val="20"/>
          <w:lang w:val="en-AU" w:eastAsia="ja-JP"/>
        </w:rPr>
      </w:pPr>
      <w:r w:rsidRPr="004D7EF1">
        <w:rPr>
          <w:rFonts w:ascii="Arial" w:eastAsiaTheme="minorEastAsia" w:hAnsi="Arial" w:cs="Arial"/>
          <w:bCs/>
          <w:iCs/>
          <w:sz w:val="20"/>
          <w:lang w:val="en-AU" w:eastAsia="ja-JP"/>
        </w:rPr>
        <w:t>Creation of new local streets and collector roads.</w:t>
      </w:r>
    </w:p>
    <w:p w14:paraId="2FF1453A" w14:textId="77777777" w:rsidR="00534A53" w:rsidRPr="00534A53" w:rsidRDefault="00534A53" w:rsidP="00534A53">
      <w:pPr>
        <w:rPr>
          <w:rFonts w:ascii="Arial" w:eastAsiaTheme="minorEastAsia" w:hAnsi="Arial" w:cs="Arial"/>
          <w:b/>
          <w:iCs/>
          <w:sz w:val="20"/>
          <w:lang w:val="en-AU" w:eastAsia="ja-JP"/>
        </w:rPr>
      </w:pPr>
      <w:r w:rsidRPr="00534A53">
        <w:rPr>
          <w:rFonts w:ascii="Arial" w:eastAsiaTheme="minorEastAsia" w:hAnsi="Arial" w:cs="Arial"/>
          <w:b/>
          <w:iCs/>
          <w:sz w:val="20"/>
          <w:lang w:val="en-AU" w:eastAsia="ja-JP"/>
        </w:rPr>
        <w:t>Transport Infrastructure</w:t>
      </w:r>
    </w:p>
    <w:p w14:paraId="1AE76083" w14:textId="676580A6"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Due to the size, scale and influence of the Planning Proposal, a traffic assessment that looks at</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transport capacity in isolation would not accurately reflect the overall demand for transport</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infrastructure in Liverpool.</w:t>
      </w:r>
    </w:p>
    <w:p w14:paraId="5B6FDA4A" w14:textId="0E26EF5B"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As a result, the project team in consultation with Council and Transport for NSW (TfNSW) have</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established a Transport Infrastructure Working Group (TI</w:t>
      </w:r>
      <w:r w:rsidR="0079692A">
        <w:rPr>
          <w:rFonts w:ascii="Arial" w:eastAsiaTheme="minorEastAsia" w:hAnsi="Arial" w:cs="Arial"/>
          <w:bCs/>
          <w:iCs/>
          <w:sz w:val="20"/>
          <w:lang w:val="en-AU" w:eastAsia="ja-JP"/>
        </w:rPr>
        <w:t>W</w:t>
      </w:r>
      <w:r w:rsidRPr="00534A53">
        <w:rPr>
          <w:rFonts w:ascii="Arial" w:eastAsiaTheme="minorEastAsia" w:hAnsi="Arial" w:cs="Arial"/>
          <w:bCs/>
          <w:iCs/>
          <w:sz w:val="20"/>
          <w:lang w:val="en-AU" w:eastAsia="ja-JP"/>
        </w:rPr>
        <w:t>G). The TWIG will involve TfNSW and</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 xml:space="preserve">Council </w:t>
      </w:r>
      <w:r w:rsidRPr="00534A53">
        <w:rPr>
          <w:rFonts w:ascii="Arial" w:eastAsiaTheme="minorEastAsia" w:hAnsi="Arial" w:cs="Arial"/>
          <w:bCs/>
          <w:iCs/>
          <w:sz w:val="20"/>
          <w:lang w:val="en-AU" w:eastAsia="ja-JP"/>
        </w:rPr>
        <w:lastRenderedPageBreak/>
        <w:t>to ensure the Planning Proposal aligns with the overarching Place Strategy for</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Liverpool Collaboration Area and the successful integration of Moore Point into the current</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and future planned transport network.</w:t>
      </w:r>
    </w:p>
    <w:p w14:paraId="046D0E53" w14:textId="3B4BC285" w:rsidR="00534A53" w:rsidRPr="0079692A"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Transport infrastructure will be carefully considered through the rezoning process and</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addressed through a two-</w:t>
      </w:r>
      <w:r w:rsidRPr="0079692A">
        <w:rPr>
          <w:rFonts w:ascii="Arial" w:eastAsiaTheme="minorEastAsia" w:hAnsi="Arial" w:cs="Arial"/>
          <w:bCs/>
          <w:iCs/>
          <w:sz w:val="20"/>
          <w:lang w:val="en-AU" w:eastAsia="ja-JP"/>
        </w:rPr>
        <w:t>stage approach involving:</w:t>
      </w:r>
    </w:p>
    <w:p w14:paraId="66CB332F" w14:textId="0EDF4484" w:rsidR="00534A53" w:rsidRPr="0079692A" w:rsidRDefault="00534A53" w:rsidP="0079692A">
      <w:pPr>
        <w:pStyle w:val="ListParagraph"/>
        <w:numPr>
          <w:ilvl w:val="0"/>
          <w:numId w:val="53"/>
        </w:numPr>
        <w:rPr>
          <w:rFonts w:ascii="Arial" w:eastAsiaTheme="minorEastAsia" w:hAnsi="Arial" w:cs="Arial"/>
          <w:bCs/>
          <w:iCs/>
          <w:sz w:val="20"/>
          <w:lang w:val="en-AU" w:eastAsia="ja-JP"/>
        </w:rPr>
      </w:pPr>
      <w:r w:rsidRPr="0079692A">
        <w:rPr>
          <w:rFonts w:ascii="Arial" w:eastAsiaTheme="minorEastAsia" w:hAnsi="Arial" w:cs="Arial"/>
          <w:bCs/>
          <w:iCs/>
          <w:sz w:val="20"/>
          <w:lang w:val="en-AU" w:eastAsia="ja-JP"/>
        </w:rPr>
        <w:t>Due Diligence and Strategic Assessment; and</w:t>
      </w:r>
    </w:p>
    <w:p w14:paraId="1C777249" w14:textId="082D8F4F" w:rsidR="00534A53" w:rsidRPr="0079692A" w:rsidRDefault="00534A53" w:rsidP="0079692A">
      <w:pPr>
        <w:pStyle w:val="ListParagraph"/>
        <w:numPr>
          <w:ilvl w:val="0"/>
          <w:numId w:val="53"/>
        </w:numPr>
        <w:rPr>
          <w:rFonts w:ascii="Arial" w:eastAsiaTheme="minorEastAsia" w:hAnsi="Arial" w:cs="Arial"/>
          <w:bCs/>
          <w:iCs/>
          <w:sz w:val="20"/>
          <w:lang w:val="en-AU" w:eastAsia="ja-JP"/>
        </w:rPr>
      </w:pPr>
      <w:r w:rsidRPr="0079692A">
        <w:rPr>
          <w:rFonts w:ascii="Arial" w:eastAsiaTheme="minorEastAsia" w:hAnsi="Arial" w:cs="Arial"/>
          <w:bCs/>
          <w:iCs/>
          <w:sz w:val="20"/>
          <w:lang w:val="en-AU" w:eastAsia="ja-JP"/>
        </w:rPr>
        <w:t>Detailed Transport and Traffic Assessment.</w:t>
      </w:r>
    </w:p>
    <w:p w14:paraId="0D3B324F" w14:textId="0AD44C18"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Importantly, Stage 1 will deliver a Preferred Land Use and Transport Infrastructure Scenario for</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Moore Point and the wider Collaboration Area, which will include:</w:t>
      </w:r>
    </w:p>
    <w:p w14:paraId="3305C868" w14:textId="4ED6B805" w:rsidR="00534A53" w:rsidRPr="0079692A" w:rsidRDefault="00534A53" w:rsidP="0079692A">
      <w:pPr>
        <w:pStyle w:val="ListParagraph"/>
        <w:numPr>
          <w:ilvl w:val="0"/>
          <w:numId w:val="54"/>
        </w:numPr>
        <w:rPr>
          <w:rFonts w:ascii="Arial" w:eastAsiaTheme="minorEastAsia" w:hAnsi="Arial" w:cs="Arial"/>
          <w:bCs/>
          <w:iCs/>
          <w:sz w:val="20"/>
          <w:lang w:val="en-AU" w:eastAsia="ja-JP"/>
        </w:rPr>
      </w:pPr>
      <w:r w:rsidRPr="0079692A">
        <w:rPr>
          <w:rFonts w:ascii="Arial" w:eastAsiaTheme="minorEastAsia" w:hAnsi="Arial" w:cs="Arial"/>
          <w:bCs/>
          <w:iCs/>
          <w:sz w:val="20"/>
          <w:lang w:val="en-AU" w:eastAsia="ja-JP"/>
        </w:rPr>
        <w:t>A Land Use and Transport Strategy for the Collaboration Area;</w:t>
      </w:r>
    </w:p>
    <w:p w14:paraId="382AEBB0" w14:textId="317DD2AB" w:rsidR="00534A53" w:rsidRPr="0079692A" w:rsidRDefault="00534A53" w:rsidP="0079692A">
      <w:pPr>
        <w:pStyle w:val="ListParagraph"/>
        <w:numPr>
          <w:ilvl w:val="0"/>
          <w:numId w:val="54"/>
        </w:numPr>
        <w:rPr>
          <w:rFonts w:ascii="Arial" w:eastAsiaTheme="minorEastAsia" w:hAnsi="Arial" w:cs="Arial"/>
          <w:bCs/>
          <w:iCs/>
          <w:sz w:val="20"/>
          <w:lang w:val="en-AU" w:eastAsia="ja-JP"/>
        </w:rPr>
      </w:pPr>
      <w:r w:rsidRPr="0079692A">
        <w:rPr>
          <w:rFonts w:ascii="Arial" w:eastAsiaTheme="minorEastAsia" w:hAnsi="Arial" w:cs="Arial"/>
          <w:bCs/>
          <w:iCs/>
          <w:sz w:val="20"/>
          <w:lang w:val="en-AU" w:eastAsia="ja-JP"/>
        </w:rPr>
        <w:t>A high level cost estimate of key infrastructure requirements and transport access</w:t>
      </w:r>
      <w:r w:rsidR="0079692A" w:rsidRPr="0079692A">
        <w:rPr>
          <w:rFonts w:ascii="Arial" w:eastAsiaTheme="minorEastAsia" w:hAnsi="Arial" w:cs="Arial"/>
          <w:bCs/>
          <w:iCs/>
          <w:sz w:val="20"/>
          <w:lang w:val="en-AU" w:eastAsia="ja-JP"/>
        </w:rPr>
        <w:t xml:space="preserve"> </w:t>
      </w:r>
      <w:r w:rsidRPr="0079692A">
        <w:rPr>
          <w:rFonts w:ascii="Arial" w:eastAsiaTheme="minorEastAsia" w:hAnsi="Arial" w:cs="Arial"/>
          <w:bCs/>
          <w:iCs/>
          <w:sz w:val="20"/>
          <w:lang w:val="en-AU" w:eastAsia="ja-JP"/>
        </w:rPr>
        <w:t>strategy for interim and ultimate development scenarios; and</w:t>
      </w:r>
    </w:p>
    <w:p w14:paraId="61A07F4D" w14:textId="18AB4BEF" w:rsidR="00534A53" w:rsidRPr="0079692A" w:rsidRDefault="00534A53" w:rsidP="0079692A">
      <w:pPr>
        <w:pStyle w:val="ListParagraph"/>
        <w:numPr>
          <w:ilvl w:val="0"/>
          <w:numId w:val="54"/>
        </w:numPr>
        <w:rPr>
          <w:rFonts w:ascii="Arial" w:eastAsiaTheme="minorEastAsia" w:hAnsi="Arial" w:cs="Arial"/>
          <w:bCs/>
          <w:iCs/>
          <w:sz w:val="20"/>
          <w:lang w:val="en-AU" w:eastAsia="ja-JP"/>
        </w:rPr>
      </w:pPr>
      <w:r w:rsidRPr="0079692A">
        <w:rPr>
          <w:rFonts w:ascii="Arial" w:eastAsiaTheme="minorEastAsia" w:hAnsi="Arial" w:cs="Arial"/>
          <w:bCs/>
          <w:iCs/>
          <w:sz w:val="20"/>
          <w:lang w:val="en-AU" w:eastAsia="ja-JP"/>
        </w:rPr>
        <w:t>An agreed funding mechanism.</w:t>
      </w:r>
    </w:p>
    <w:p w14:paraId="14562A8D" w14:textId="0BF6565B"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It is expected that these deliverables will establish the required transport infrastructure needed</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to support the Planning Proposal and will be progressed through the Gateway process in</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collaboration with the TI</w:t>
      </w:r>
      <w:r w:rsidR="0079692A">
        <w:rPr>
          <w:rFonts w:ascii="Arial" w:eastAsiaTheme="minorEastAsia" w:hAnsi="Arial" w:cs="Arial"/>
          <w:bCs/>
          <w:iCs/>
          <w:sz w:val="20"/>
          <w:lang w:val="en-AU" w:eastAsia="ja-JP"/>
        </w:rPr>
        <w:t>W</w:t>
      </w:r>
      <w:r w:rsidRPr="00534A53">
        <w:rPr>
          <w:rFonts w:ascii="Arial" w:eastAsiaTheme="minorEastAsia" w:hAnsi="Arial" w:cs="Arial"/>
          <w:bCs/>
          <w:iCs/>
          <w:sz w:val="20"/>
          <w:lang w:val="en-AU" w:eastAsia="ja-JP"/>
        </w:rPr>
        <w:t>G and key agencies.</w:t>
      </w:r>
    </w:p>
    <w:p w14:paraId="65ACAD0B" w14:textId="4530844F" w:rsidR="00534A53" w:rsidRPr="00534A5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The scope of each study is documented within the Strategic Transport Assessment prepared</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by Aurecon.</w:t>
      </w:r>
    </w:p>
    <w:p w14:paraId="4077BE63" w14:textId="78FB5FF8" w:rsidR="00444A63" w:rsidRDefault="00534A53" w:rsidP="00534A53">
      <w:pPr>
        <w:rPr>
          <w:rFonts w:ascii="Arial" w:eastAsiaTheme="minorEastAsia" w:hAnsi="Arial" w:cs="Arial"/>
          <w:bCs/>
          <w:iCs/>
          <w:sz w:val="20"/>
          <w:lang w:val="en-AU" w:eastAsia="ja-JP"/>
        </w:rPr>
      </w:pPr>
      <w:r w:rsidRPr="00534A53">
        <w:rPr>
          <w:rFonts w:ascii="Arial" w:eastAsiaTheme="minorEastAsia" w:hAnsi="Arial" w:cs="Arial"/>
          <w:bCs/>
          <w:iCs/>
          <w:sz w:val="20"/>
          <w:lang w:val="en-AU" w:eastAsia="ja-JP"/>
        </w:rPr>
        <w:t>For the reasons outlined above, the planning proposal is considered to satisfy the site-specific</w:t>
      </w:r>
      <w:r w:rsidR="0079692A">
        <w:rPr>
          <w:rFonts w:ascii="Arial" w:eastAsiaTheme="minorEastAsia" w:hAnsi="Arial" w:cs="Arial"/>
          <w:bCs/>
          <w:iCs/>
          <w:sz w:val="20"/>
          <w:lang w:val="en-AU" w:eastAsia="ja-JP"/>
        </w:rPr>
        <w:t xml:space="preserve"> </w:t>
      </w:r>
      <w:r w:rsidRPr="00534A53">
        <w:rPr>
          <w:rFonts w:ascii="Arial" w:eastAsiaTheme="minorEastAsia" w:hAnsi="Arial" w:cs="Arial"/>
          <w:bCs/>
          <w:iCs/>
          <w:sz w:val="20"/>
          <w:lang w:val="en-AU" w:eastAsia="ja-JP"/>
        </w:rPr>
        <w:t>merit test.</w:t>
      </w:r>
    </w:p>
    <w:p w14:paraId="05D75C63" w14:textId="78B6D63A" w:rsidR="005A398A" w:rsidRPr="00851E9E" w:rsidRDefault="0045470D" w:rsidP="004F5AA0">
      <w:pPr>
        <w:pStyle w:val="Sub-Heading2-Purple"/>
        <w:numPr>
          <w:ilvl w:val="0"/>
          <w:numId w:val="1"/>
        </w:numPr>
        <w:spacing w:line="276" w:lineRule="auto"/>
        <w:rPr>
          <w:lang w:eastAsia="ja-JP"/>
        </w:rPr>
      </w:pPr>
      <w:r w:rsidRPr="0045470D">
        <w:rPr>
          <w:iCs/>
          <w:lang w:val="en-US" w:eastAsia="ja-JP"/>
        </w:rPr>
        <w:t>Will the planning proposal give effect to a council’s endorsed local strategic planning statement, or another endorsed local strategy or strategic plan?</w:t>
      </w:r>
    </w:p>
    <w:p w14:paraId="087B4B11" w14:textId="22FF498E" w:rsidR="00911289" w:rsidRPr="003A5ABD" w:rsidRDefault="00F95F28" w:rsidP="00911289">
      <w:pPr>
        <w:pStyle w:val="Body-Black"/>
        <w:rPr>
          <w:u w:val="single"/>
          <w:lang w:eastAsia="ja-JP"/>
        </w:rPr>
      </w:pPr>
      <w:r w:rsidRPr="003A5ABD">
        <w:rPr>
          <w:u w:val="single"/>
          <w:lang w:eastAsia="ja-JP"/>
        </w:rPr>
        <w:t>Connected Liverpool 204</w:t>
      </w:r>
      <w:r w:rsidR="00911289" w:rsidRPr="003A5ABD">
        <w:rPr>
          <w:u w:val="single"/>
          <w:lang w:eastAsia="ja-JP"/>
        </w:rPr>
        <w:t>0 (LSPS)</w:t>
      </w:r>
    </w:p>
    <w:p w14:paraId="7CFB7CDA" w14:textId="688D226C" w:rsidR="00911289" w:rsidRPr="003A5ABD" w:rsidRDefault="00F95F28" w:rsidP="00911289">
      <w:pPr>
        <w:pStyle w:val="Body-Black"/>
        <w:rPr>
          <w:lang w:eastAsia="ja-JP"/>
        </w:rPr>
      </w:pPr>
      <w:r w:rsidRPr="003A5ABD">
        <w:rPr>
          <w:lang w:eastAsia="ja-JP"/>
        </w:rPr>
        <w:t>Connected Liverpool 204</w:t>
      </w:r>
      <w:r w:rsidR="00911289" w:rsidRPr="003A5ABD">
        <w:rPr>
          <w:lang w:eastAsia="ja-JP"/>
        </w:rPr>
        <w:t>0 is Liverpool Council’s local strategic planning statement (LSPS).</w:t>
      </w:r>
    </w:p>
    <w:p w14:paraId="56F1A171" w14:textId="42C7DC49" w:rsidR="00911289" w:rsidRPr="003A5ABD" w:rsidRDefault="00911289" w:rsidP="00911289">
      <w:pPr>
        <w:pStyle w:val="Body-Black"/>
        <w:rPr>
          <w:lang w:eastAsia="ja-JP"/>
        </w:rPr>
      </w:pPr>
      <w:r w:rsidRPr="003A5ABD">
        <w:rPr>
          <w:lang w:eastAsia="ja-JP"/>
        </w:rPr>
        <w:t>The subject planning proposal gives effect to the LSPS, which states:</w:t>
      </w:r>
    </w:p>
    <w:p w14:paraId="6C203884" w14:textId="690A0747" w:rsidR="00EA4C68" w:rsidRPr="003A5ABD" w:rsidRDefault="00EA4C68" w:rsidP="00037AA1">
      <w:pPr>
        <w:pStyle w:val="Body-Black"/>
        <w:numPr>
          <w:ilvl w:val="0"/>
          <w:numId w:val="5"/>
        </w:numPr>
        <w:rPr>
          <w:lang w:eastAsia="ja-JP"/>
        </w:rPr>
      </w:pPr>
      <w:r w:rsidRPr="003A5ABD">
        <w:rPr>
          <w:lang w:eastAsia="ja-JP"/>
        </w:rPr>
        <w:t>Local Planning Priority 7</w:t>
      </w:r>
      <w:r w:rsidR="00911289" w:rsidRPr="003A5ABD">
        <w:rPr>
          <w:lang w:eastAsia="ja-JP"/>
        </w:rPr>
        <w:t xml:space="preserve">– </w:t>
      </w:r>
      <w:r w:rsidRPr="003A5ABD">
        <w:rPr>
          <w:lang w:eastAsia="ja-JP"/>
        </w:rPr>
        <w:t>Housing choice for different needs, with density focused in the City Centre and centres well serviced by public transport</w:t>
      </w:r>
    </w:p>
    <w:p w14:paraId="2A8C67BD" w14:textId="085ABD55" w:rsidR="00911289" w:rsidRPr="003A5ABD" w:rsidRDefault="00911289" w:rsidP="00037AA1">
      <w:pPr>
        <w:pStyle w:val="Body-Black"/>
        <w:numPr>
          <w:ilvl w:val="1"/>
          <w:numId w:val="5"/>
        </w:numPr>
        <w:rPr>
          <w:lang w:eastAsia="ja-JP"/>
        </w:rPr>
      </w:pPr>
      <w:r w:rsidRPr="003A5ABD">
        <w:rPr>
          <w:lang w:eastAsia="ja-JP"/>
        </w:rPr>
        <w:t xml:space="preserve">Council </w:t>
      </w:r>
      <w:r w:rsidR="0068134F">
        <w:rPr>
          <w:lang w:eastAsia="ja-JP"/>
        </w:rPr>
        <w:t>w</w:t>
      </w:r>
      <w:r w:rsidRPr="003A5ABD">
        <w:rPr>
          <w:lang w:eastAsia="ja-JP"/>
        </w:rPr>
        <w:t xml:space="preserve">ill – </w:t>
      </w:r>
      <w:r w:rsidR="004A409A" w:rsidRPr="003A5ABD">
        <w:rPr>
          <w:lang w:eastAsia="ja-JP"/>
        </w:rPr>
        <w:t>Ensure housing typologies are diverse and appropriately located to cater for the entire community</w:t>
      </w:r>
    </w:p>
    <w:p w14:paraId="5A27BA94" w14:textId="46B4CE6A" w:rsidR="00EA6141" w:rsidRDefault="00911289" w:rsidP="00911289">
      <w:pPr>
        <w:pStyle w:val="Body-Black"/>
        <w:rPr>
          <w:lang w:eastAsia="ja-JP"/>
        </w:rPr>
      </w:pPr>
      <w:r w:rsidRPr="003A5ABD">
        <w:rPr>
          <w:lang w:eastAsia="ja-JP"/>
        </w:rPr>
        <w:t>The planning proposal</w:t>
      </w:r>
      <w:r w:rsidR="00F14E49" w:rsidRPr="003A5ABD">
        <w:rPr>
          <w:lang w:eastAsia="ja-JP"/>
        </w:rPr>
        <w:t xml:space="preserve"> </w:t>
      </w:r>
      <w:r w:rsidR="001A315C" w:rsidRPr="003A5ABD">
        <w:rPr>
          <w:lang w:eastAsia="ja-JP"/>
        </w:rPr>
        <w:t xml:space="preserve">will </w:t>
      </w:r>
      <w:r w:rsidR="00BA317F" w:rsidRPr="003A5ABD">
        <w:rPr>
          <w:lang w:eastAsia="ja-JP"/>
        </w:rPr>
        <w:t>facilitate</w:t>
      </w:r>
      <w:r w:rsidR="00F14E49" w:rsidRPr="003A5ABD">
        <w:rPr>
          <w:lang w:eastAsia="ja-JP"/>
        </w:rPr>
        <w:t xml:space="preserve"> the </w:t>
      </w:r>
      <w:r w:rsidR="004550AE" w:rsidRPr="003A5ABD">
        <w:rPr>
          <w:lang w:eastAsia="ja-JP"/>
        </w:rPr>
        <w:t>develop</w:t>
      </w:r>
      <w:r w:rsidR="00F14E49" w:rsidRPr="003A5ABD">
        <w:rPr>
          <w:lang w:eastAsia="ja-JP"/>
        </w:rPr>
        <w:t xml:space="preserve">ment of additional </w:t>
      </w:r>
      <w:r w:rsidR="004550AE" w:rsidRPr="003A5ABD">
        <w:rPr>
          <w:lang w:eastAsia="ja-JP"/>
        </w:rPr>
        <w:t xml:space="preserve">housing </w:t>
      </w:r>
      <w:r w:rsidR="001A315C" w:rsidRPr="003A5ABD">
        <w:rPr>
          <w:lang w:eastAsia="ja-JP"/>
        </w:rPr>
        <w:t xml:space="preserve">types </w:t>
      </w:r>
      <w:r w:rsidR="004167C4">
        <w:rPr>
          <w:lang w:eastAsia="ja-JP"/>
        </w:rPr>
        <w:t>in the Liverpool City Centre</w:t>
      </w:r>
      <w:r w:rsidR="004550AE" w:rsidRPr="003A5ABD">
        <w:rPr>
          <w:lang w:eastAsia="ja-JP"/>
        </w:rPr>
        <w:t>.</w:t>
      </w:r>
    </w:p>
    <w:p w14:paraId="17DEFA9B" w14:textId="77777777" w:rsidR="00FC6730" w:rsidRPr="00FC6730" w:rsidRDefault="00FC6730" w:rsidP="00FC6730">
      <w:pPr>
        <w:pStyle w:val="Body-Black"/>
        <w:rPr>
          <w:u w:val="single"/>
          <w:lang w:eastAsia="ja-JP"/>
        </w:rPr>
      </w:pPr>
      <w:r w:rsidRPr="00FC6730">
        <w:rPr>
          <w:u w:val="single"/>
          <w:lang w:eastAsia="ja-JP"/>
        </w:rPr>
        <w:t>Liverpool Community Strategic Plan – Our Home, Liverpool 2027</w:t>
      </w:r>
    </w:p>
    <w:p w14:paraId="6040C387" w14:textId="0342CD8D" w:rsidR="00FC6730" w:rsidRDefault="00FC6730" w:rsidP="00FC6730">
      <w:pPr>
        <w:pStyle w:val="Body-Black"/>
        <w:rPr>
          <w:lang w:eastAsia="ja-JP"/>
        </w:rPr>
      </w:pPr>
      <w:r>
        <w:rPr>
          <w:lang w:eastAsia="ja-JP"/>
        </w:rPr>
        <w:t>The proposal gives effect to the Liverpool’s Community Strategic Plan (CSP) – Our Home, Liverpool 2027, which states:</w:t>
      </w:r>
    </w:p>
    <w:p w14:paraId="2F9A0D3A" w14:textId="7C8D18F5" w:rsidR="00FC6730" w:rsidRDefault="00FC6730" w:rsidP="00037AA1">
      <w:pPr>
        <w:pStyle w:val="Body-Black"/>
        <w:numPr>
          <w:ilvl w:val="0"/>
          <w:numId w:val="5"/>
        </w:numPr>
        <w:rPr>
          <w:lang w:eastAsia="ja-JP"/>
        </w:rPr>
      </w:pPr>
      <w:r>
        <w:rPr>
          <w:lang w:eastAsia="ja-JP"/>
        </w:rPr>
        <w:t>Direction 2: Strengthening and Protecting our Environment</w:t>
      </w:r>
    </w:p>
    <w:p w14:paraId="43FA3539" w14:textId="3933086C" w:rsidR="00FC6730" w:rsidRDefault="00FC6730" w:rsidP="00037AA1">
      <w:pPr>
        <w:pStyle w:val="Body-Black"/>
        <w:numPr>
          <w:ilvl w:val="1"/>
          <w:numId w:val="5"/>
        </w:numPr>
        <w:rPr>
          <w:lang w:eastAsia="ja-JP"/>
        </w:rPr>
      </w:pPr>
      <w:r>
        <w:rPr>
          <w:lang w:eastAsia="ja-JP"/>
        </w:rPr>
        <w:t>Council will: Exercise planning controls to create high-quality, inclusive, urban environments.</w:t>
      </w:r>
    </w:p>
    <w:p w14:paraId="70D8ACA9" w14:textId="3E48502E" w:rsidR="00FC6730" w:rsidRDefault="00FC6730" w:rsidP="00FC6730">
      <w:pPr>
        <w:pStyle w:val="Body-Black"/>
        <w:rPr>
          <w:lang w:eastAsia="ja-JP"/>
        </w:rPr>
      </w:pPr>
      <w:r>
        <w:rPr>
          <w:lang w:eastAsia="ja-JP"/>
        </w:rPr>
        <w:t>The proposed amendment will facilitate the efficient development of the subject site in a manner that</w:t>
      </w:r>
      <w:r w:rsidR="00F87BF9">
        <w:rPr>
          <w:lang w:eastAsia="ja-JP"/>
        </w:rPr>
        <w:t xml:space="preserve"> creates a high-quality built form outcome, with negligible environmental implications</w:t>
      </w:r>
      <w:r>
        <w:rPr>
          <w:lang w:eastAsia="ja-JP"/>
        </w:rPr>
        <w:t xml:space="preserve">. </w:t>
      </w:r>
    </w:p>
    <w:p w14:paraId="4364D13F" w14:textId="56719551" w:rsidR="00FC6730" w:rsidRDefault="00FC6730" w:rsidP="00037AA1">
      <w:pPr>
        <w:pStyle w:val="Body-Black"/>
        <w:numPr>
          <w:ilvl w:val="0"/>
          <w:numId w:val="5"/>
        </w:numPr>
        <w:rPr>
          <w:lang w:eastAsia="ja-JP"/>
        </w:rPr>
      </w:pPr>
      <w:r>
        <w:rPr>
          <w:lang w:eastAsia="ja-JP"/>
        </w:rPr>
        <w:lastRenderedPageBreak/>
        <w:t>Direction 3: Generating Opportunity</w:t>
      </w:r>
    </w:p>
    <w:p w14:paraId="0DBC2F7D" w14:textId="103DCD7A" w:rsidR="00FC6730" w:rsidRDefault="00FC6730" w:rsidP="00037AA1">
      <w:pPr>
        <w:pStyle w:val="Body-Black"/>
        <w:numPr>
          <w:ilvl w:val="1"/>
          <w:numId w:val="5"/>
        </w:numPr>
        <w:rPr>
          <w:lang w:eastAsia="ja-JP"/>
        </w:rPr>
      </w:pPr>
      <w:r>
        <w:rPr>
          <w:lang w:eastAsia="ja-JP"/>
        </w:rPr>
        <w:t>Council will: Meet the challenges of Liverpool’s growing population.</w:t>
      </w:r>
    </w:p>
    <w:p w14:paraId="3D83ED41" w14:textId="55A4C010" w:rsidR="00FC6730" w:rsidRDefault="00FC6730" w:rsidP="00911289">
      <w:pPr>
        <w:pStyle w:val="Body-Black"/>
        <w:rPr>
          <w:lang w:eastAsia="ja-JP"/>
        </w:rPr>
      </w:pPr>
      <w:r>
        <w:rPr>
          <w:lang w:eastAsia="ja-JP"/>
        </w:rPr>
        <w:t xml:space="preserve">The ability to </w:t>
      </w:r>
      <w:r w:rsidR="00FA7692">
        <w:rPr>
          <w:lang w:eastAsia="ja-JP"/>
        </w:rPr>
        <w:t>develop residential housing will work to meet the CSP Direction</w:t>
      </w:r>
      <w:r>
        <w:rPr>
          <w:lang w:eastAsia="ja-JP"/>
        </w:rPr>
        <w:t>. Efficient development of the site will be facilitated to meet the population growth occurring within Liverpool and the wider Metropolitan Sydney area.</w:t>
      </w:r>
    </w:p>
    <w:p w14:paraId="4B0A75C0" w14:textId="77777777" w:rsidR="00183B6C" w:rsidRPr="00851E9E" w:rsidRDefault="00183B6C" w:rsidP="004F5AA0">
      <w:pPr>
        <w:pStyle w:val="Sub-Heading2-Purple"/>
        <w:numPr>
          <w:ilvl w:val="0"/>
          <w:numId w:val="1"/>
        </w:numPr>
        <w:spacing w:line="276" w:lineRule="auto"/>
        <w:rPr>
          <w:lang w:eastAsia="ja-JP"/>
        </w:rPr>
      </w:pPr>
      <w:r w:rsidRPr="00851E9E">
        <w:rPr>
          <w:lang w:eastAsia="ja-JP"/>
        </w:rPr>
        <w:t>Is the planning proposal consistent with applicable State Environmental Planning Policies?</w:t>
      </w:r>
    </w:p>
    <w:p w14:paraId="7E598217" w14:textId="5F5C824F" w:rsidR="00F90287" w:rsidRDefault="00F90287" w:rsidP="004F5AA0">
      <w:pPr>
        <w:pStyle w:val="Caption"/>
        <w:keepNext/>
        <w:spacing w:line="276" w:lineRule="auto"/>
      </w:pPr>
      <w:bookmarkStart w:id="26" w:name="_Toc46145527"/>
      <w:r>
        <w:t xml:space="preserve">Table </w:t>
      </w:r>
      <w:r w:rsidR="00386DE9">
        <w:t>4</w:t>
      </w:r>
      <w:r w:rsidR="00D65D6F">
        <w:t xml:space="preserve">: </w:t>
      </w:r>
      <w:r w:rsidR="00F35058">
        <w:t xml:space="preserve"> Consistency with State Environmental Planning Policies</w:t>
      </w:r>
      <w:bookmarkEnd w:id="26"/>
    </w:p>
    <w:tbl>
      <w:tblPr>
        <w:tblW w:w="8695" w:type="dxa"/>
        <w:tblBorders>
          <w:insideH w:val="single" w:sz="4" w:space="0" w:color="BFB59E" w:themeColor="background1" w:themeShade="D9"/>
          <w:insideV w:val="single" w:sz="4" w:space="0" w:color="BFB59E" w:themeColor="background1" w:themeShade="D9"/>
        </w:tblBorders>
        <w:tblLayout w:type="fixed"/>
        <w:tblLook w:val="04A0" w:firstRow="1" w:lastRow="0" w:firstColumn="1" w:lastColumn="0" w:noHBand="0" w:noVBand="1"/>
      </w:tblPr>
      <w:tblGrid>
        <w:gridCol w:w="3261"/>
        <w:gridCol w:w="1913"/>
        <w:gridCol w:w="3510"/>
        <w:gridCol w:w="11"/>
      </w:tblGrid>
      <w:tr w:rsidR="00636E01" w:rsidRPr="009D6EC2" w14:paraId="39153195" w14:textId="77777777" w:rsidTr="00636E01">
        <w:trPr>
          <w:tblHeader/>
        </w:trPr>
        <w:tc>
          <w:tcPr>
            <w:tcW w:w="8695" w:type="dxa"/>
            <w:gridSpan w:val="4"/>
            <w:shd w:val="clear" w:color="auto" w:fill="7030A0"/>
          </w:tcPr>
          <w:p w14:paraId="61DB6742" w14:textId="704DEBE6" w:rsidR="00636E01" w:rsidRPr="00636E01" w:rsidRDefault="00386DE9" w:rsidP="00386DE9">
            <w:pPr>
              <w:pStyle w:val="MeconeTable"/>
              <w:numPr>
                <w:ilvl w:val="0"/>
                <w:numId w:val="0"/>
              </w:numPr>
              <w:rPr>
                <w:b/>
                <w:bCs/>
                <w:color w:val="D8D2C4" w:themeColor="background1"/>
              </w:rPr>
            </w:pPr>
            <w:bookmarkStart w:id="27" w:name="_Toc262236131"/>
            <w:bookmarkStart w:id="28" w:name="_Toc296677146"/>
            <w:bookmarkStart w:id="29" w:name="_Toc37082975"/>
            <w:r>
              <w:rPr>
                <w:b/>
                <w:bCs/>
                <w:color w:val="D8D2C4" w:themeColor="background1"/>
              </w:rPr>
              <w:t xml:space="preserve">Table 4: </w:t>
            </w:r>
            <w:r w:rsidR="00636E01" w:rsidRPr="00636E01">
              <w:rPr>
                <w:b/>
                <w:bCs/>
                <w:color w:val="D8D2C4" w:themeColor="background1"/>
              </w:rPr>
              <w:t>State Environmental Planning Policies</w:t>
            </w:r>
            <w:bookmarkEnd w:id="27"/>
            <w:bookmarkEnd w:id="28"/>
            <w:bookmarkEnd w:id="29"/>
            <w:r w:rsidR="00636E01" w:rsidRPr="00636E01">
              <w:rPr>
                <w:b/>
                <w:bCs/>
                <w:color w:val="D8D2C4" w:themeColor="background1"/>
              </w:rPr>
              <w:t xml:space="preserve"> </w:t>
            </w:r>
          </w:p>
        </w:tc>
      </w:tr>
      <w:tr w:rsidR="00636E01" w:rsidRPr="001E7EBA" w14:paraId="602EE63D" w14:textId="77777777" w:rsidTr="00386DE9">
        <w:trPr>
          <w:gridAfter w:val="1"/>
          <w:wAfter w:w="11" w:type="dxa"/>
          <w:tblHeader/>
        </w:trPr>
        <w:tc>
          <w:tcPr>
            <w:tcW w:w="3261" w:type="dxa"/>
            <w:shd w:val="clear" w:color="auto" w:fill="9B73CA" w:themeFill="text1" w:themeFillTint="99"/>
          </w:tcPr>
          <w:p w14:paraId="7D1BFC77" w14:textId="77777777" w:rsidR="00636E01" w:rsidRPr="00636E01" w:rsidRDefault="00636E01" w:rsidP="003652C9">
            <w:pPr>
              <w:pStyle w:val="Table-Text"/>
              <w:rPr>
                <w:rFonts w:ascii="Arial" w:hAnsi="Arial" w:cs="Arial"/>
                <w:szCs w:val="20"/>
              </w:rPr>
            </w:pPr>
            <w:r w:rsidRPr="00636E01">
              <w:rPr>
                <w:rFonts w:ascii="Arial" w:hAnsi="Arial" w:cs="Arial"/>
                <w:szCs w:val="20"/>
              </w:rPr>
              <w:t>SEPP</w:t>
            </w:r>
          </w:p>
        </w:tc>
        <w:tc>
          <w:tcPr>
            <w:tcW w:w="1913" w:type="dxa"/>
            <w:shd w:val="clear" w:color="auto" w:fill="9B73CA" w:themeFill="text1" w:themeFillTint="99"/>
          </w:tcPr>
          <w:p w14:paraId="35B14B2E" w14:textId="77777777" w:rsidR="00636E01" w:rsidRPr="00636E01" w:rsidRDefault="00636E01" w:rsidP="003652C9">
            <w:pPr>
              <w:pStyle w:val="Table-Text"/>
              <w:rPr>
                <w:rFonts w:ascii="Arial" w:hAnsi="Arial" w:cs="Arial"/>
                <w:szCs w:val="20"/>
              </w:rPr>
            </w:pPr>
            <w:r w:rsidRPr="00636E01">
              <w:rPr>
                <w:rFonts w:ascii="Arial" w:hAnsi="Arial" w:cs="Arial"/>
                <w:szCs w:val="20"/>
              </w:rPr>
              <w:t>Consistency</w:t>
            </w:r>
          </w:p>
        </w:tc>
        <w:tc>
          <w:tcPr>
            <w:tcW w:w="3510" w:type="dxa"/>
            <w:shd w:val="clear" w:color="auto" w:fill="9B73CA" w:themeFill="text1" w:themeFillTint="99"/>
          </w:tcPr>
          <w:p w14:paraId="6D9DF78E" w14:textId="77777777" w:rsidR="00636E01" w:rsidRPr="00636E01" w:rsidRDefault="00636E01" w:rsidP="003652C9">
            <w:pPr>
              <w:pStyle w:val="Table-Text"/>
              <w:rPr>
                <w:rFonts w:ascii="Arial" w:hAnsi="Arial" w:cs="Arial"/>
                <w:szCs w:val="20"/>
              </w:rPr>
            </w:pPr>
            <w:r w:rsidRPr="00636E01">
              <w:rPr>
                <w:rFonts w:ascii="Arial" w:hAnsi="Arial" w:cs="Arial"/>
                <w:szCs w:val="20"/>
              </w:rPr>
              <w:t>Comments</w:t>
            </w:r>
          </w:p>
        </w:tc>
      </w:tr>
      <w:tr w:rsidR="00636E01" w:rsidRPr="001E7EBA" w14:paraId="684D0B6E" w14:textId="77777777" w:rsidTr="00386DE9">
        <w:trPr>
          <w:gridAfter w:val="1"/>
          <w:wAfter w:w="11" w:type="dxa"/>
        </w:trPr>
        <w:tc>
          <w:tcPr>
            <w:tcW w:w="3261" w:type="dxa"/>
            <w:shd w:val="clear" w:color="auto" w:fill="DDD0ED" w:themeFill="text1" w:themeFillTint="33"/>
          </w:tcPr>
          <w:p w14:paraId="0243A27B" w14:textId="77777777" w:rsidR="00636E01" w:rsidRPr="00636E01" w:rsidRDefault="00636E01" w:rsidP="003652C9">
            <w:pPr>
              <w:pStyle w:val="Table-Text"/>
              <w:rPr>
                <w:rFonts w:ascii="Arial" w:hAnsi="Arial" w:cs="Arial"/>
                <w:szCs w:val="20"/>
              </w:rPr>
            </w:pPr>
            <w:r w:rsidRPr="00636E01">
              <w:rPr>
                <w:rFonts w:ascii="Arial" w:hAnsi="Arial" w:cs="Arial"/>
                <w:szCs w:val="20"/>
              </w:rPr>
              <w:t>SEPP No. 19 – Bushland in Urban Areas</w:t>
            </w:r>
          </w:p>
        </w:tc>
        <w:tc>
          <w:tcPr>
            <w:tcW w:w="1913" w:type="dxa"/>
            <w:shd w:val="clear" w:color="auto" w:fill="DDD0ED" w:themeFill="text1" w:themeFillTint="33"/>
          </w:tcPr>
          <w:p w14:paraId="77BD06DF"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29BD9014" w14:textId="77777777" w:rsidR="00636E01" w:rsidRPr="00636E01" w:rsidRDefault="00636E01" w:rsidP="003652C9">
            <w:pPr>
              <w:pStyle w:val="Table-Text"/>
              <w:rPr>
                <w:rFonts w:ascii="Arial" w:hAnsi="Arial" w:cs="Arial"/>
                <w:szCs w:val="20"/>
              </w:rPr>
            </w:pPr>
          </w:p>
        </w:tc>
      </w:tr>
      <w:tr w:rsidR="00636E01" w:rsidRPr="001E7EBA" w14:paraId="4AF2747D" w14:textId="77777777" w:rsidTr="00386DE9">
        <w:trPr>
          <w:gridAfter w:val="1"/>
          <w:wAfter w:w="11" w:type="dxa"/>
        </w:trPr>
        <w:tc>
          <w:tcPr>
            <w:tcW w:w="3261" w:type="dxa"/>
            <w:shd w:val="clear" w:color="auto" w:fill="DDD0ED" w:themeFill="text1" w:themeFillTint="33"/>
          </w:tcPr>
          <w:p w14:paraId="6EBC75B1" w14:textId="77777777" w:rsidR="00636E01" w:rsidRPr="00636E01" w:rsidRDefault="00636E01" w:rsidP="003652C9">
            <w:pPr>
              <w:pStyle w:val="Table-Text"/>
              <w:rPr>
                <w:rFonts w:ascii="Arial" w:hAnsi="Arial" w:cs="Arial"/>
                <w:szCs w:val="20"/>
              </w:rPr>
            </w:pPr>
            <w:r w:rsidRPr="00636E01">
              <w:rPr>
                <w:rFonts w:ascii="Arial" w:hAnsi="Arial" w:cs="Arial"/>
                <w:szCs w:val="20"/>
              </w:rPr>
              <w:t>SEPP No 21 – Caravan Parks</w:t>
            </w:r>
          </w:p>
        </w:tc>
        <w:tc>
          <w:tcPr>
            <w:tcW w:w="1913" w:type="dxa"/>
            <w:shd w:val="clear" w:color="auto" w:fill="DDD0ED" w:themeFill="text1" w:themeFillTint="33"/>
          </w:tcPr>
          <w:p w14:paraId="4EFBF55F"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30110E8" w14:textId="77777777" w:rsidR="00636E01" w:rsidRPr="00636E01" w:rsidRDefault="00636E01" w:rsidP="003652C9">
            <w:pPr>
              <w:pStyle w:val="Table-Text"/>
              <w:rPr>
                <w:rFonts w:ascii="Arial" w:hAnsi="Arial" w:cs="Arial"/>
                <w:szCs w:val="20"/>
              </w:rPr>
            </w:pPr>
          </w:p>
        </w:tc>
      </w:tr>
      <w:tr w:rsidR="00636E01" w:rsidRPr="001E7EBA" w14:paraId="4956315F" w14:textId="77777777" w:rsidTr="00386DE9">
        <w:trPr>
          <w:gridAfter w:val="1"/>
          <w:wAfter w:w="11" w:type="dxa"/>
        </w:trPr>
        <w:tc>
          <w:tcPr>
            <w:tcW w:w="3261" w:type="dxa"/>
            <w:shd w:val="clear" w:color="auto" w:fill="DDD0ED" w:themeFill="text1" w:themeFillTint="33"/>
          </w:tcPr>
          <w:p w14:paraId="526BC1F1" w14:textId="77777777" w:rsidR="00636E01" w:rsidRPr="00636E01" w:rsidRDefault="00636E01" w:rsidP="003652C9">
            <w:pPr>
              <w:pStyle w:val="Table-Text"/>
              <w:rPr>
                <w:rFonts w:ascii="Arial" w:hAnsi="Arial" w:cs="Arial"/>
                <w:szCs w:val="20"/>
              </w:rPr>
            </w:pPr>
            <w:r w:rsidRPr="00636E01">
              <w:rPr>
                <w:rFonts w:ascii="Arial" w:hAnsi="Arial" w:cs="Arial"/>
                <w:szCs w:val="20"/>
              </w:rPr>
              <w:t>SEPP No. 33 – Hazardous and Offensive Development</w:t>
            </w:r>
          </w:p>
        </w:tc>
        <w:tc>
          <w:tcPr>
            <w:tcW w:w="1913" w:type="dxa"/>
            <w:shd w:val="clear" w:color="auto" w:fill="DDD0ED" w:themeFill="text1" w:themeFillTint="33"/>
          </w:tcPr>
          <w:p w14:paraId="0AFC0EEC"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02D53B72"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proposal will adopt the standard instrument definitions of hazardous and offensive development, which are not permitted on the site. </w:t>
            </w:r>
          </w:p>
        </w:tc>
      </w:tr>
      <w:tr w:rsidR="00636E01" w:rsidRPr="001E7EBA" w14:paraId="7C7C772B" w14:textId="77777777" w:rsidTr="00386DE9">
        <w:trPr>
          <w:gridAfter w:val="1"/>
          <w:wAfter w:w="11" w:type="dxa"/>
        </w:trPr>
        <w:tc>
          <w:tcPr>
            <w:tcW w:w="3261" w:type="dxa"/>
            <w:shd w:val="clear" w:color="auto" w:fill="DDD0ED" w:themeFill="text1" w:themeFillTint="33"/>
          </w:tcPr>
          <w:p w14:paraId="0AB0E2C2" w14:textId="77777777" w:rsidR="00636E01" w:rsidRPr="00636E01" w:rsidRDefault="00636E01" w:rsidP="003652C9">
            <w:pPr>
              <w:pStyle w:val="Table-Text"/>
              <w:rPr>
                <w:rFonts w:ascii="Arial" w:hAnsi="Arial" w:cs="Arial"/>
                <w:szCs w:val="20"/>
              </w:rPr>
            </w:pPr>
            <w:r w:rsidRPr="00636E01">
              <w:rPr>
                <w:rFonts w:ascii="Arial" w:hAnsi="Arial" w:cs="Arial"/>
                <w:szCs w:val="20"/>
              </w:rPr>
              <w:t>SEPP No. 36 – Manufactured Home Estates</w:t>
            </w:r>
          </w:p>
        </w:tc>
        <w:tc>
          <w:tcPr>
            <w:tcW w:w="1913" w:type="dxa"/>
            <w:shd w:val="clear" w:color="auto" w:fill="DDD0ED" w:themeFill="text1" w:themeFillTint="33"/>
          </w:tcPr>
          <w:p w14:paraId="3EF7DD68"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45F5A9B6" w14:textId="77777777" w:rsidR="00636E01" w:rsidRPr="00636E01" w:rsidRDefault="00636E01" w:rsidP="003652C9">
            <w:pPr>
              <w:pStyle w:val="Table-Text"/>
              <w:rPr>
                <w:rFonts w:ascii="Arial" w:hAnsi="Arial" w:cs="Arial"/>
                <w:szCs w:val="20"/>
              </w:rPr>
            </w:pPr>
          </w:p>
        </w:tc>
      </w:tr>
      <w:tr w:rsidR="00636E01" w:rsidRPr="001E7EBA" w14:paraId="058D759B" w14:textId="77777777" w:rsidTr="00386DE9">
        <w:trPr>
          <w:gridAfter w:val="1"/>
          <w:wAfter w:w="11" w:type="dxa"/>
        </w:trPr>
        <w:tc>
          <w:tcPr>
            <w:tcW w:w="3261" w:type="dxa"/>
            <w:shd w:val="clear" w:color="auto" w:fill="DDD0ED" w:themeFill="text1" w:themeFillTint="33"/>
          </w:tcPr>
          <w:p w14:paraId="4DF49479" w14:textId="77777777" w:rsidR="00636E01" w:rsidRPr="00636E01" w:rsidRDefault="00636E01" w:rsidP="003652C9">
            <w:pPr>
              <w:pStyle w:val="Table-Text"/>
              <w:rPr>
                <w:rFonts w:ascii="Arial" w:hAnsi="Arial" w:cs="Arial"/>
                <w:szCs w:val="20"/>
              </w:rPr>
            </w:pPr>
            <w:r w:rsidRPr="00636E01">
              <w:rPr>
                <w:rFonts w:ascii="Arial" w:hAnsi="Arial" w:cs="Arial"/>
                <w:szCs w:val="20"/>
              </w:rPr>
              <w:t>SEPP No. 47 – Moore Park Showground</w:t>
            </w:r>
          </w:p>
        </w:tc>
        <w:tc>
          <w:tcPr>
            <w:tcW w:w="1913" w:type="dxa"/>
            <w:shd w:val="clear" w:color="auto" w:fill="DDD0ED" w:themeFill="text1" w:themeFillTint="33"/>
          </w:tcPr>
          <w:p w14:paraId="3AF0B681"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F9656D1" w14:textId="77777777" w:rsidR="00636E01" w:rsidRPr="00636E01" w:rsidRDefault="00636E01" w:rsidP="003652C9">
            <w:pPr>
              <w:pStyle w:val="Table-Text"/>
              <w:rPr>
                <w:rFonts w:ascii="Arial" w:hAnsi="Arial" w:cs="Arial"/>
                <w:szCs w:val="20"/>
              </w:rPr>
            </w:pPr>
          </w:p>
        </w:tc>
      </w:tr>
      <w:tr w:rsidR="00636E01" w:rsidRPr="001E7EBA" w14:paraId="201A7004" w14:textId="77777777" w:rsidTr="00386DE9">
        <w:trPr>
          <w:gridAfter w:val="1"/>
          <w:wAfter w:w="11" w:type="dxa"/>
        </w:trPr>
        <w:tc>
          <w:tcPr>
            <w:tcW w:w="3261" w:type="dxa"/>
            <w:shd w:val="clear" w:color="auto" w:fill="DDD0ED" w:themeFill="text1" w:themeFillTint="33"/>
          </w:tcPr>
          <w:p w14:paraId="1EE58172" w14:textId="77777777" w:rsidR="00636E01" w:rsidRPr="00636E01" w:rsidRDefault="00636E01" w:rsidP="003652C9">
            <w:pPr>
              <w:pStyle w:val="Table-Text"/>
              <w:rPr>
                <w:rFonts w:ascii="Arial" w:hAnsi="Arial" w:cs="Arial"/>
                <w:szCs w:val="20"/>
              </w:rPr>
            </w:pPr>
            <w:r w:rsidRPr="00636E01">
              <w:rPr>
                <w:rFonts w:ascii="Arial" w:hAnsi="Arial" w:cs="Arial"/>
                <w:szCs w:val="20"/>
              </w:rPr>
              <w:t>SEPP no. 50 – Canal Estate Development</w:t>
            </w:r>
          </w:p>
        </w:tc>
        <w:tc>
          <w:tcPr>
            <w:tcW w:w="1913" w:type="dxa"/>
            <w:shd w:val="clear" w:color="auto" w:fill="DDD0ED" w:themeFill="text1" w:themeFillTint="33"/>
          </w:tcPr>
          <w:p w14:paraId="65A3A67D"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5236EC77" w14:textId="77777777" w:rsidR="00636E01" w:rsidRPr="00636E01" w:rsidRDefault="00636E01" w:rsidP="003652C9">
            <w:pPr>
              <w:pStyle w:val="Table-Text"/>
              <w:rPr>
                <w:rFonts w:ascii="Arial" w:hAnsi="Arial" w:cs="Arial"/>
                <w:szCs w:val="20"/>
              </w:rPr>
            </w:pPr>
          </w:p>
        </w:tc>
      </w:tr>
      <w:tr w:rsidR="00636E01" w:rsidRPr="00A9211E" w14:paraId="7F0B8C7E" w14:textId="77777777" w:rsidTr="00386DE9">
        <w:trPr>
          <w:gridAfter w:val="1"/>
          <w:wAfter w:w="11" w:type="dxa"/>
        </w:trPr>
        <w:tc>
          <w:tcPr>
            <w:tcW w:w="3261" w:type="dxa"/>
            <w:shd w:val="clear" w:color="auto" w:fill="DDD0ED" w:themeFill="text1" w:themeFillTint="33"/>
          </w:tcPr>
          <w:p w14:paraId="31481AAD" w14:textId="77777777" w:rsidR="00636E01" w:rsidRPr="00636E01" w:rsidRDefault="00636E01" w:rsidP="003652C9">
            <w:pPr>
              <w:pStyle w:val="Table-Text"/>
              <w:rPr>
                <w:rFonts w:ascii="Arial" w:hAnsi="Arial" w:cs="Arial"/>
                <w:szCs w:val="20"/>
              </w:rPr>
            </w:pPr>
            <w:r w:rsidRPr="00636E01">
              <w:rPr>
                <w:rFonts w:ascii="Arial" w:hAnsi="Arial" w:cs="Arial"/>
                <w:szCs w:val="20"/>
              </w:rPr>
              <w:t>SEPP No. 55 – Remediation of Land</w:t>
            </w:r>
          </w:p>
        </w:tc>
        <w:tc>
          <w:tcPr>
            <w:tcW w:w="1913" w:type="dxa"/>
            <w:shd w:val="clear" w:color="auto" w:fill="DDD0ED" w:themeFill="text1" w:themeFillTint="33"/>
          </w:tcPr>
          <w:p w14:paraId="363434CB"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0BDA1056"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site will be appropriately remediated to ensure it is suitable for residential development. </w:t>
            </w:r>
          </w:p>
          <w:p w14:paraId="47B17CBF"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A Preliminary Site Investigation (PSI) report has been prepared to support the Planning Proposal and concludes the site can be remediated for its intended purpose. Refer to </w:t>
            </w:r>
            <w:r w:rsidRPr="00636E01">
              <w:rPr>
                <w:rFonts w:ascii="Arial" w:hAnsi="Arial" w:cs="Arial"/>
                <w:b/>
                <w:bCs/>
                <w:szCs w:val="20"/>
              </w:rPr>
              <w:t>Appendix 10</w:t>
            </w:r>
            <w:r w:rsidRPr="00636E01">
              <w:rPr>
                <w:rFonts w:ascii="Arial" w:hAnsi="Arial" w:cs="Arial"/>
                <w:szCs w:val="20"/>
              </w:rPr>
              <w:t xml:space="preserve">. </w:t>
            </w:r>
          </w:p>
        </w:tc>
      </w:tr>
      <w:tr w:rsidR="00636E01" w:rsidRPr="001E7EBA" w14:paraId="20D14D9B" w14:textId="77777777" w:rsidTr="00386DE9">
        <w:trPr>
          <w:gridAfter w:val="1"/>
          <w:wAfter w:w="11" w:type="dxa"/>
        </w:trPr>
        <w:tc>
          <w:tcPr>
            <w:tcW w:w="3261" w:type="dxa"/>
            <w:shd w:val="clear" w:color="auto" w:fill="DDD0ED" w:themeFill="text1" w:themeFillTint="33"/>
          </w:tcPr>
          <w:p w14:paraId="7919A732" w14:textId="77777777" w:rsidR="00636E01" w:rsidRPr="00636E01" w:rsidRDefault="00636E01" w:rsidP="003652C9">
            <w:pPr>
              <w:pStyle w:val="Table-Text"/>
              <w:rPr>
                <w:rFonts w:ascii="Arial" w:hAnsi="Arial" w:cs="Arial"/>
                <w:szCs w:val="20"/>
              </w:rPr>
            </w:pPr>
            <w:r w:rsidRPr="00636E01">
              <w:rPr>
                <w:rFonts w:ascii="Arial" w:hAnsi="Arial" w:cs="Arial"/>
                <w:szCs w:val="20"/>
              </w:rPr>
              <w:t>SEPP No. 64 – Advertising and Signage</w:t>
            </w:r>
          </w:p>
        </w:tc>
        <w:tc>
          <w:tcPr>
            <w:tcW w:w="1913" w:type="dxa"/>
            <w:shd w:val="clear" w:color="auto" w:fill="DDD0ED" w:themeFill="text1" w:themeFillTint="33"/>
          </w:tcPr>
          <w:p w14:paraId="683018E1"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1837695A"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proposal does not contradict or hinder the application of the SEPP. </w:t>
            </w:r>
          </w:p>
        </w:tc>
      </w:tr>
      <w:tr w:rsidR="00636E01" w:rsidRPr="001E7EBA" w14:paraId="7943B956" w14:textId="77777777" w:rsidTr="00386DE9">
        <w:trPr>
          <w:gridAfter w:val="1"/>
          <w:wAfter w:w="11" w:type="dxa"/>
        </w:trPr>
        <w:tc>
          <w:tcPr>
            <w:tcW w:w="3261" w:type="dxa"/>
            <w:shd w:val="clear" w:color="auto" w:fill="DDD0ED" w:themeFill="text1" w:themeFillTint="33"/>
          </w:tcPr>
          <w:p w14:paraId="189AF7B9" w14:textId="77777777" w:rsidR="00636E01" w:rsidRPr="00636E01" w:rsidRDefault="00636E01" w:rsidP="003652C9">
            <w:pPr>
              <w:pStyle w:val="Table-Text"/>
              <w:rPr>
                <w:rFonts w:ascii="Arial" w:hAnsi="Arial" w:cs="Arial"/>
                <w:szCs w:val="20"/>
              </w:rPr>
            </w:pPr>
            <w:r w:rsidRPr="00636E01">
              <w:rPr>
                <w:rFonts w:ascii="Arial" w:hAnsi="Arial" w:cs="Arial"/>
                <w:szCs w:val="20"/>
              </w:rPr>
              <w:lastRenderedPageBreak/>
              <w:t>SEPP No. 65 – Design Quality of Residential Apartment Development</w:t>
            </w:r>
          </w:p>
        </w:tc>
        <w:tc>
          <w:tcPr>
            <w:tcW w:w="1913" w:type="dxa"/>
            <w:shd w:val="clear" w:color="auto" w:fill="DDD0ED" w:themeFill="text1" w:themeFillTint="33"/>
          </w:tcPr>
          <w:p w14:paraId="0C1E2178"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7AF6A0FA"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building envelope established by the proposal is capable of accommodating residential and mixed-use development that is consistent with SEPP 65 principles and with the Apartment Design Guide. </w:t>
            </w:r>
          </w:p>
          <w:p w14:paraId="628A9359" w14:textId="750A5F79" w:rsidR="00636E01" w:rsidRPr="00636E01" w:rsidRDefault="00636E01" w:rsidP="003652C9">
            <w:pPr>
              <w:pStyle w:val="Table-Text"/>
              <w:rPr>
                <w:rFonts w:ascii="Arial" w:hAnsi="Arial" w:cs="Arial"/>
                <w:szCs w:val="20"/>
              </w:rPr>
            </w:pPr>
            <w:r w:rsidRPr="00636E01">
              <w:rPr>
                <w:rFonts w:ascii="Arial" w:hAnsi="Arial" w:cs="Arial"/>
                <w:szCs w:val="20"/>
              </w:rPr>
              <w:t xml:space="preserve">An overview of the proposal’s ability to comply with key ADG criteria is provided with the urban design </w:t>
            </w:r>
            <w:r w:rsidR="003E6F7D">
              <w:rPr>
                <w:rFonts w:ascii="Arial" w:hAnsi="Arial" w:cs="Arial"/>
                <w:szCs w:val="20"/>
              </w:rPr>
              <w:t>study.</w:t>
            </w:r>
          </w:p>
        </w:tc>
      </w:tr>
      <w:tr w:rsidR="00636E01" w:rsidRPr="001E7EBA" w14:paraId="18E1E1AA" w14:textId="77777777" w:rsidTr="00386DE9">
        <w:trPr>
          <w:gridAfter w:val="1"/>
          <w:wAfter w:w="11" w:type="dxa"/>
        </w:trPr>
        <w:tc>
          <w:tcPr>
            <w:tcW w:w="3261" w:type="dxa"/>
            <w:shd w:val="clear" w:color="auto" w:fill="DDD0ED" w:themeFill="text1" w:themeFillTint="33"/>
          </w:tcPr>
          <w:p w14:paraId="362A09AF" w14:textId="77777777" w:rsidR="00636E01" w:rsidRPr="00636E01" w:rsidRDefault="00636E01" w:rsidP="003652C9">
            <w:pPr>
              <w:pStyle w:val="Table-Text"/>
              <w:rPr>
                <w:rFonts w:ascii="Arial" w:hAnsi="Arial" w:cs="Arial"/>
                <w:szCs w:val="20"/>
              </w:rPr>
            </w:pPr>
            <w:r w:rsidRPr="00636E01">
              <w:rPr>
                <w:rFonts w:ascii="Arial" w:hAnsi="Arial" w:cs="Arial"/>
                <w:szCs w:val="20"/>
              </w:rPr>
              <w:t>SEPP No. 70 – Affordable Housing (Revised Schemes)</w:t>
            </w:r>
          </w:p>
        </w:tc>
        <w:tc>
          <w:tcPr>
            <w:tcW w:w="1913" w:type="dxa"/>
            <w:shd w:val="clear" w:color="auto" w:fill="DDD0ED" w:themeFill="text1" w:themeFillTint="33"/>
          </w:tcPr>
          <w:p w14:paraId="05C258B8"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0BD22BAA" w14:textId="77777777" w:rsidR="00636E01" w:rsidRPr="00636E01" w:rsidRDefault="00636E01" w:rsidP="003652C9">
            <w:pPr>
              <w:pStyle w:val="Table-Text"/>
              <w:rPr>
                <w:rFonts w:ascii="Arial" w:hAnsi="Arial" w:cs="Arial"/>
                <w:szCs w:val="20"/>
              </w:rPr>
            </w:pPr>
          </w:p>
        </w:tc>
      </w:tr>
      <w:tr w:rsidR="00636E01" w:rsidRPr="001E7EBA" w14:paraId="7708CB36" w14:textId="77777777" w:rsidTr="00386DE9">
        <w:trPr>
          <w:gridAfter w:val="1"/>
          <w:wAfter w:w="11" w:type="dxa"/>
        </w:trPr>
        <w:tc>
          <w:tcPr>
            <w:tcW w:w="3261" w:type="dxa"/>
            <w:shd w:val="clear" w:color="auto" w:fill="DDD0ED" w:themeFill="text1" w:themeFillTint="33"/>
          </w:tcPr>
          <w:p w14:paraId="2C9B067C" w14:textId="77777777" w:rsidR="00636E01" w:rsidRPr="00636E01" w:rsidRDefault="00636E01" w:rsidP="003652C9">
            <w:pPr>
              <w:pStyle w:val="Table-Text"/>
              <w:rPr>
                <w:rFonts w:ascii="Arial" w:hAnsi="Arial" w:cs="Arial"/>
                <w:szCs w:val="20"/>
              </w:rPr>
            </w:pPr>
            <w:r w:rsidRPr="00636E01">
              <w:rPr>
                <w:rFonts w:ascii="Arial" w:hAnsi="Arial" w:cs="Arial"/>
                <w:szCs w:val="20"/>
              </w:rPr>
              <w:t>SEPP (Aboriginal Land) 2019</w:t>
            </w:r>
          </w:p>
        </w:tc>
        <w:tc>
          <w:tcPr>
            <w:tcW w:w="1913" w:type="dxa"/>
            <w:shd w:val="clear" w:color="auto" w:fill="DDD0ED" w:themeFill="text1" w:themeFillTint="33"/>
          </w:tcPr>
          <w:p w14:paraId="525480B6"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0EDAB2C4" w14:textId="77777777" w:rsidR="00636E01" w:rsidRPr="00636E01" w:rsidRDefault="00636E01" w:rsidP="003652C9">
            <w:pPr>
              <w:pStyle w:val="Table-Text"/>
              <w:rPr>
                <w:rFonts w:ascii="Arial" w:hAnsi="Arial" w:cs="Arial"/>
                <w:szCs w:val="20"/>
              </w:rPr>
            </w:pPr>
          </w:p>
        </w:tc>
      </w:tr>
      <w:tr w:rsidR="00636E01" w:rsidRPr="001E7EBA" w14:paraId="1503907E" w14:textId="77777777" w:rsidTr="00386DE9">
        <w:trPr>
          <w:gridAfter w:val="1"/>
          <w:wAfter w:w="11" w:type="dxa"/>
        </w:trPr>
        <w:tc>
          <w:tcPr>
            <w:tcW w:w="3261" w:type="dxa"/>
            <w:shd w:val="clear" w:color="auto" w:fill="DDD0ED" w:themeFill="text1" w:themeFillTint="33"/>
          </w:tcPr>
          <w:p w14:paraId="2768D7CC" w14:textId="77777777" w:rsidR="00636E01" w:rsidRPr="00636E01" w:rsidRDefault="00636E01" w:rsidP="003652C9">
            <w:pPr>
              <w:pStyle w:val="Table-Text"/>
              <w:rPr>
                <w:rFonts w:ascii="Arial" w:hAnsi="Arial" w:cs="Arial"/>
                <w:szCs w:val="20"/>
              </w:rPr>
            </w:pPr>
            <w:r w:rsidRPr="00636E01">
              <w:rPr>
                <w:rFonts w:ascii="Arial" w:hAnsi="Arial" w:cs="Arial"/>
                <w:szCs w:val="20"/>
              </w:rPr>
              <w:t>SEPP (Affordable Rental Housing) 2009</w:t>
            </w:r>
          </w:p>
        </w:tc>
        <w:tc>
          <w:tcPr>
            <w:tcW w:w="1913" w:type="dxa"/>
            <w:shd w:val="clear" w:color="auto" w:fill="DDD0ED" w:themeFill="text1" w:themeFillTint="33"/>
          </w:tcPr>
          <w:p w14:paraId="7C2B6647"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27FFA256"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57E2115F" w14:textId="77777777" w:rsidTr="00386DE9">
        <w:trPr>
          <w:gridAfter w:val="1"/>
          <w:wAfter w:w="11" w:type="dxa"/>
        </w:trPr>
        <w:tc>
          <w:tcPr>
            <w:tcW w:w="3261" w:type="dxa"/>
            <w:shd w:val="clear" w:color="auto" w:fill="DDD0ED" w:themeFill="text1" w:themeFillTint="33"/>
          </w:tcPr>
          <w:p w14:paraId="44CADDAE" w14:textId="77777777" w:rsidR="00636E01" w:rsidRPr="00636E01" w:rsidRDefault="00636E01" w:rsidP="003652C9">
            <w:pPr>
              <w:pStyle w:val="Table-Text"/>
              <w:rPr>
                <w:rFonts w:ascii="Arial" w:hAnsi="Arial" w:cs="Arial"/>
                <w:szCs w:val="20"/>
              </w:rPr>
            </w:pPr>
            <w:r w:rsidRPr="00636E01">
              <w:rPr>
                <w:rFonts w:ascii="Arial" w:hAnsi="Arial" w:cs="Arial"/>
                <w:szCs w:val="20"/>
              </w:rPr>
              <w:t>SEPP (Building Sustainability Index: BASIX) 2004</w:t>
            </w:r>
          </w:p>
        </w:tc>
        <w:tc>
          <w:tcPr>
            <w:tcW w:w="1913" w:type="dxa"/>
            <w:shd w:val="clear" w:color="auto" w:fill="DDD0ED" w:themeFill="text1" w:themeFillTint="33"/>
          </w:tcPr>
          <w:p w14:paraId="35A746FC"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6D5B052A"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14:paraId="6170D2A0" w14:textId="77777777" w:rsidTr="00386DE9">
        <w:trPr>
          <w:gridAfter w:val="1"/>
          <w:wAfter w:w="11" w:type="dxa"/>
        </w:trPr>
        <w:tc>
          <w:tcPr>
            <w:tcW w:w="3261" w:type="dxa"/>
            <w:shd w:val="clear" w:color="auto" w:fill="DDD0ED" w:themeFill="text1" w:themeFillTint="33"/>
          </w:tcPr>
          <w:p w14:paraId="16C13FC2" w14:textId="77777777" w:rsidR="00636E01" w:rsidRPr="00636E01" w:rsidRDefault="00636E01" w:rsidP="003652C9">
            <w:pPr>
              <w:pStyle w:val="Table-Text"/>
              <w:rPr>
                <w:rFonts w:ascii="Arial" w:hAnsi="Arial" w:cs="Arial"/>
                <w:szCs w:val="20"/>
              </w:rPr>
            </w:pPr>
            <w:r w:rsidRPr="00636E01">
              <w:rPr>
                <w:rFonts w:ascii="Arial" w:hAnsi="Arial" w:cs="Arial"/>
                <w:szCs w:val="20"/>
              </w:rPr>
              <w:t>SEPP (Coastal Management) 2018</w:t>
            </w:r>
          </w:p>
        </w:tc>
        <w:tc>
          <w:tcPr>
            <w:tcW w:w="1913" w:type="dxa"/>
            <w:shd w:val="clear" w:color="auto" w:fill="DDD0ED" w:themeFill="text1" w:themeFillTint="33"/>
          </w:tcPr>
          <w:p w14:paraId="0EB7AB94"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373E05C9" w14:textId="77777777" w:rsidR="00636E01" w:rsidRPr="00636E01" w:rsidRDefault="00636E01" w:rsidP="003652C9">
            <w:pPr>
              <w:pStyle w:val="Table-Text"/>
              <w:rPr>
                <w:rFonts w:ascii="Arial" w:hAnsi="Arial" w:cs="Arial"/>
                <w:szCs w:val="20"/>
              </w:rPr>
            </w:pPr>
          </w:p>
        </w:tc>
      </w:tr>
      <w:tr w:rsidR="00636E01" w14:paraId="5FA30D7A" w14:textId="77777777" w:rsidTr="00386DE9">
        <w:trPr>
          <w:gridAfter w:val="1"/>
          <w:wAfter w:w="11" w:type="dxa"/>
        </w:trPr>
        <w:tc>
          <w:tcPr>
            <w:tcW w:w="3261" w:type="dxa"/>
            <w:shd w:val="clear" w:color="auto" w:fill="DDD0ED" w:themeFill="text1" w:themeFillTint="33"/>
          </w:tcPr>
          <w:p w14:paraId="404D1F77" w14:textId="77777777" w:rsidR="00636E01" w:rsidRPr="00636E01" w:rsidRDefault="00636E01" w:rsidP="003652C9">
            <w:pPr>
              <w:pStyle w:val="Table-Text"/>
              <w:rPr>
                <w:rFonts w:ascii="Arial" w:hAnsi="Arial" w:cs="Arial"/>
                <w:szCs w:val="20"/>
              </w:rPr>
            </w:pPr>
            <w:r w:rsidRPr="00636E01">
              <w:rPr>
                <w:rFonts w:ascii="Arial" w:hAnsi="Arial" w:cs="Arial"/>
                <w:szCs w:val="20"/>
              </w:rPr>
              <w:t>SEPP (Education Establishments and Child Care Facilities) 2017</w:t>
            </w:r>
          </w:p>
        </w:tc>
        <w:tc>
          <w:tcPr>
            <w:tcW w:w="1913" w:type="dxa"/>
            <w:shd w:val="clear" w:color="auto" w:fill="DDD0ED" w:themeFill="text1" w:themeFillTint="33"/>
          </w:tcPr>
          <w:p w14:paraId="69BCDBD0"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0D49B4A0"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543C5E21" w14:textId="77777777" w:rsidTr="00386DE9">
        <w:trPr>
          <w:gridAfter w:val="1"/>
          <w:wAfter w:w="11" w:type="dxa"/>
        </w:trPr>
        <w:tc>
          <w:tcPr>
            <w:tcW w:w="3261" w:type="dxa"/>
            <w:shd w:val="clear" w:color="auto" w:fill="DDD0ED" w:themeFill="text1" w:themeFillTint="33"/>
          </w:tcPr>
          <w:p w14:paraId="0D48F9BC" w14:textId="77777777" w:rsidR="00636E01" w:rsidRPr="00636E01" w:rsidRDefault="00636E01" w:rsidP="003652C9">
            <w:pPr>
              <w:pStyle w:val="Table-Text"/>
              <w:rPr>
                <w:rFonts w:ascii="Arial" w:hAnsi="Arial" w:cs="Arial"/>
                <w:szCs w:val="20"/>
              </w:rPr>
            </w:pPr>
            <w:r w:rsidRPr="00636E01">
              <w:rPr>
                <w:rFonts w:ascii="Arial" w:hAnsi="Arial" w:cs="Arial"/>
                <w:szCs w:val="20"/>
              </w:rPr>
              <w:t>SEPP (Exempt and Complying Development Codes 2008</w:t>
            </w:r>
          </w:p>
        </w:tc>
        <w:tc>
          <w:tcPr>
            <w:tcW w:w="1913" w:type="dxa"/>
            <w:shd w:val="clear" w:color="auto" w:fill="DDD0ED" w:themeFill="text1" w:themeFillTint="33"/>
          </w:tcPr>
          <w:p w14:paraId="43A150CD"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1EA5A875"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14:paraId="33076779" w14:textId="77777777" w:rsidTr="00386DE9">
        <w:trPr>
          <w:gridAfter w:val="1"/>
          <w:wAfter w:w="11" w:type="dxa"/>
        </w:trPr>
        <w:tc>
          <w:tcPr>
            <w:tcW w:w="3261" w:type="dxa"/>
            <w:shd w:val="clear" w:color="auto" w:fill="DDD0ED" w:themeFill="text1" w:themeFillTint="33"/>
          </w:tcPr>
          <w:p w14:paraId="2AF3F8B9" w14:textId="77777777" w:rsidR="00636E01" w:rsidRPr="00636E01" w:rsidRDefault="00636E01" w:rsidP="003652C9">
            <w:pPr>
              <w:pStyle w:val="Table-Text"/>
              <w:rPr>
                <w:rFonts w:ascii="Arial" w:hAnsi="Arial" w:cs="Arial"/>
                <w:szCs w:val="20"/>
              </w:rPr>
            </w:pPr>
            <w:r w:rsidRPr="00636E01">
              <w:rPr>
                <w:rFonts w:ascii="Arial" w:hAnsi="Arial" w:cs="Arial"/>
                <w:szCs w:val="20"/>
              </w:rPr>
              <w:t>SEPP (Gosford City Centre) 2018</w:t>
            </w:r>
          </w:p>
        </w:tc>
        <w:tc>
          <w:tcPr>
            <w:tcW w:w="1913" w:type="dxa"/>
            <w:shd w:val="clear" w:color="auto" w:fill="DDD0ED" w:themeFill="text1" w:themeFillTint="33"/>
          </w:tcPr>
          <w:p w14:paraId="6C9997C9"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5B60FE44" w14:textId="77777777" w:rsidR="00636E01" w:rsidRPr="00636E01" w:rsidRDefault="00636E01" w:rsidP="003652C9">
            <w:pPr>
              <w:pStyle w:val="Table-Text"/>
              <w:rPr>
                <w:rFonts w:ascii="Arial" w:hAnsi="Arial" w:cs="Arial"/>
                <w:szCs w:val="20"/>
              </w:rPr>
            </w:pPr>
          </w:p>
        </w:tc>
      </w:tr>
      <w:tr w:rsidR="00636E01" w14:paraId="05D66C3F" w14:textId="77777777" w:rsidTr="00386DE9">
        <w:trPr>
          <w:gridAfter w:val="1"/>
          <w:wAfter w:w="11" w:type="dxa"/>
        </w:trPr>
        <w:tc>
          <w:tcPr>
            <w:tcW w:w="3261" w:type="dxa"/>
            <w:shd w:val="clear" w:color="auto" w:fill="DDD0ED" w:themeFill="text1" w:themeFillTint="33"/>
          </w:tcPr>
          <w:p w14:paraId="3E194E98" w14:textId="77777777" w:rsidR="00636E01" w:rsidRPr="00636E01" w:rsidRDefault="00636E01" w:rsidP="003652C9">
            <w:pPr>
              <w:pStyle w:val="Table-Text"/>
              <w:rPr>
                <w:rFonts w:ascii="Arial" w:hAnsi="Arial" w:cs="Arial"/>
                <w:szCs w:val="20"/>
              </w:rPr>
            </w:pPr>
            <w:r w:rsidRPr="00636E01">
              <w:rPr>
                <w:rFonts w:ascii="Arial" w:hAnsi="Arial" w:cs="Arial"/>
                <w:szCs w:val="20"/>
              </w:rPr>
              <w:t>SEPP (Concurrences and Consents) 2018</w:t>
            </w:r>
          </w:p>
        </w:tc>
        <w:tc>
          <w:tcPr>
            <w:tcW w:w="1913" w:type="dxa"/>
            <w:shd w:val="clear" w:color="auto" w:fill="DDD0ED" w:themeFill="text1" w:themeFillTint="33"/>
          </w:tcPr>
          <w:p w14:paraId="6BE8FB8D"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6407445C"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333910B8" w14:textId="77777777" w:rsidTr="00386DE9">
        <w:trPr>
          <w:gridAfter w:val="1"/>
          <w:wAfter w:w="11" w:type="dxa"/>
        </w:trPr>
        <w:tc>
          <w:tcPr>
            <w:tcW w:w="3261" w:type="dxa"/>
            <w:shd w:val="clear" w:color="auto" w:fill="DDD0ED" w:themeFill="text1" w:themeFillTint="33"/>
          </w:tcPr>
          <w:p w14:paraId="0E0352CE" w14:textId="77777777" w:rsidR="00636E01" w:rsidRPr="00636E01" w:rsidRDefault="00636E01" w:rsidP="003652C9">
            <w:pPr>
              <w:pStyle w:val="Table-Text"/>
              <w:rPr>
                <w:rFonts w:ascii="Arial" w:hAnsi="Arial" w:cs="Arial"/>
                <w:szCs w:val="20"/>
              </w:rPr>
            </w:pPr>
            <w:r w:rsidRPr="00636E01">
              <w:rPr>
                <w:rFonts w:ascii="Arial" w:hAnsi="Arial" w:cs="Arial"/>
                <w:szCs w:val="20"/>
              </w:rPr>
              <w:t>SEPP (Housing for Seniors or People with a Disability) 2004</w:t>
            </w:r>
          </w:p>
        </w:tc>
        <w:tc>
          <w:tcPr>
            <w:tcW w:w="1913" w:type="dxa"/>
            <w:shd w:val="clear" w:color="auto" w:fill="DDD0ED" w:themeFill="text1" w:themeFillTint="33"/>
          </w:tcPr>
          <w:p w14:paraId="308C58DE"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133A00B0"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0C5E84F5" w14:textId="77777777" w:rsidTr="00386DE9">
        <w:trPr>
          <w:gridAfter w:val="1"/>
          <w:wAfter w:w="11" w:type="dxa"/>
        </w:trPr>
        <w:tc>
          <w:tcPr>
            <w:tcW w:w="3261" w:type="dxa"/>
            <w:shd w:val="clear" w:color="auto" w:fill="DDD0ED" w:themeFill="text1" w:themeFillTint="33"/>
          </w:tcPr>
          <w:p w14:paraId="2F431FD6" w14:textId="77777777" w:rsidR="00636E01" w:rsidRPr="00636E01" w:rsidRDefault="00636E01" w:rsidP="003652C9">
            <w:pPr>
              <w:pStyle w:val="Table-Text"/>
              <w:rPr>
                <w:rFonts w:ascii="Arial" w:hAnsi="Arial" w:cs="Arial"/>
                <w:szCs w:val="20"/>
              </w:rPr>
            </w:pPr>
            <w:r w:rsidRPr="00636E01">
              <w:rPr>
                <w:rFonts w:ascii="Arial" w:hAnsi="Arial" w:cs="Arial"/>
                <w:szCs w:val="20"/>
              </w:rPr>
              <w:t>SEPP (Infrastructure) 2007</w:t>
            </w:r>
          </w:p>
        </w:tc>
        <w:tc>
          <w:tcPr>
            <w:tcW w:w="1913" w:type="dxa"/>
            <w:shd w:val="clear" w:color="auto" w:fill="DDD0ED" w:themeFill="text1" w:themeFillTint="33"/>
          </w:tcPr>
          <w:p w14:paraId="3D292909" w14:textId="77777777" w:rsidR="00636E01" w:rsidRPr="00636E01" w:rsidRDefault="00636E01" w:rsidP="003652C9">
            <w:pPr>
              <w:pStyle w:val="Table-Text"/>
              <w:rPr>
                <w:rFonts w:ascii="Arial" w:hAnsi="Arial" w:cs="Arial"/>
                <w:szCs w:val="20"/>
              </w:rPr>
            </w:pPr>
            <w:r w:rsidRPr="00636E01">
              <w:rPr>
                <w:rFonts w:ascii="Arial" w:hAnsi="Arial" w:cs="Arial"/>
                <w:szCs w:val="20"/>
              </w:rPr>
              <w:t>Consistent.</w:t>
            </w:r>
          </w:p>
        </w:tc>
        <w:tc>
          <w:tcPr>
            <w:tcW w:w="3510" w:type="dxa"/>
            <w:shd w:val="clear" w:color="auto" w:fill="DDD0ED" w:themeFill="text1" w:themeFillTint="33"/>
          </w:tcPr>
          <w:p w14:paraId="6F18255E"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14:paraId="79676991" w14:textId="77777777" w:rsidTr="00386DE9">
        <w:trPr>
          <w:gridAfter w:val="1"/>
          <w:wAfter w:w="11" w:type="dxa"/>
        </w:trPr>
        <w:tc>
          <w:tcPr>
            <w:tcW w:w="3261" w:type="dxa"/>
            <w:shd w:val="clear" w:color="auto" w:fill="DDD0ED" w:themeFill="text1" w:themeFillTint="33"/>
          </w:tcPr>
          <w:p w14:paraId="211F5D95" w14:textId="77777777" w:rsidR="00636E01" w:rsidRPr="00636E01" w:rsidRDefault="00636E01" w:rsidP="003652C9">
            <w:pPr>
              <w:pStyle w:val="Table-Text"/>
              <w:rPr>
                <w:rFonts w:ascii="Arial" w:hAnsi="Arial" w:cs="Arial"/>
                <w:szCs w:val="20"/>
              </w:rPr>
            </w:pPr>
            <w:r w:rsidRPr="00636E01">
              <w:rPr>
                <w:rFonts w:ascii="Arial" w:hAnsi="Arial" w:cs="Arial"/>
                <w:szCs w:val="20"/>
              </w:rPr>
              <w:t>SEPP (Koala Habitat Protection) 2019</w:t>
            </w:r>
          </w:p>
        </w:tc>
        <w:tc>
          <w:tcPr>
            <w:tcW w:w="1913" w:type="dxa"/>
            <w:shd w:val="clear" w:color="auto" w:fill="DDD0ED" w:themeFill="text1" w:themeFillTint="33"/>
          </w:tcPr>
          <w:p w14:paraId="4B55E7E8"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39AE93C3"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19B53150" w14:textId="77777777" w:rsidTr="00386DE9">
        <w:trPr>
          <w:gridAfter w:val="1"/>
          <w:wAfter w:w="11" w:type="dxa"/>
        </w:trPr>
        <w:tc>
          <w:tcPr>
            <w:tcW w:w="3261" w:type="dxa"/>
            <w:shd w:val="clear" w:color="auto" w:fill="DDD0ED" w:themeFill="text1" w:themeFillTint="33"/>
          </w:tcPr>
          <w:p w14:paraId="0F49D5B1" w14:textId="77777777" w:rsidR="00636E01" w:rsidRPr="00636E01" w:rsidRDefault="00636E01" w:rsidP="003652C9">
            <w:pPr>
              <w:pStyle w:val="Table-Text"/>
              <w:rPr>
                <w:rFonts w:ascii="Arial" w:hAnsi="Arial" w:cs="Arial"/>
                <w:szCs w:val="20"/>
              </w:rPr>
            </w:pPr>
            <w:r w:rsidRPr="00636E01">
              <w:rPr>
                <w:rFonts w:ascii="Arial" w:hAnsi="Arial" w:cs="Arial"/>
                <w:szCs w:val="20"/>
              </w:rPr>
              <w:lastRenderedPageBreak/>
              <w:t>SEPP (Kosciuszko National Park – Alpine Resorts) 2007</w:t>
            </w:r>
          </w:p>
        </w:tc>
        <w:tc>
          <w:tcPr>
            <w:tcW w:w="1913" w:type="dxa"/>
            <w:shd w:val="clear" w:color="auto" w:fill="DDD0ED" w:themeFill="text1" w:themeFillTint="33"/>
          </w:tcPr>
          <w:p w14:paraId="1E979E13"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9981046" w14:textId="77777777" w:rsidR="00636E01" w:rsidRPr="00636E01" w:rsidRDefault="00636E01" w:rsidP="003652C9">
            <w:pPr>
              <w:pStyle w:val="Table-Text"/>
              <w:rPr>
                <w:rFonts w:ascii="Arial" w:hAnsi="Arial" w:cs="Arial"/>
                <w:szCs w:val="20"/>
              </w:rPr>
            </w:pPr>
          </w:p>
        </w:tc>
      </w:tr>
      <w:tr w:rsidR="00636E01" w:rsidRPr="001E7EBA" w14:paraId="7B56DC79" w14:textId="77777777" w:rsidTr="00386DE9">
        <w:trPr>
          <w:gridAfter w:val="1"/>
          <w:wAfter w:w="11" w:type="dxa"/>
        </w:trPr>
        <w:tc>
          <w:tcPr>
            <w:tcW w:w="3261" w:type="dxa"/>
            <w:shd w:val="clear" w:color="auto" w:fill="DDD0ED" w:themeFill="text1" w:themeFillTint="33"/>
          </w:tcPr>
          <w:p w14:paraId="57318268" w14:textId="77777777" w:rsidR="00636E01" w:rsidRPr="00636E01" w:rsidRDefault="00636E01" w:rsidP="003652C9">
            <w:pPr>
              <w:pStyle w:val="Table-Text"/>
              <w:rPr>
                <w:rFonts w:ascii="Arial" w:hAnsi="Arial" w:cs="Arial"/>
                <w:szCs w:val="20"/>
              </w:rPr>
            </w:pPr>
            <w:r w:rsidRPr="00636E01">
              <w:rPr>
                <w:rFonts w:ascii="Arial" w:hAnsi="Arial" w:cs="Arial"/>
                <w:szCs w:val="20"/>
              </w:rPr>
              <w:t>SEPP (Kurnell Peninsula) 1989</w:t>
            </w:r>
          </w:p>
        </w:tc>
        <w:tc>
          <w:tcPr>
            <w:tcW w:w="1913" w:type="dxa"/>
            <w:shd w:val="clear" w:color="auto" w:fill="DDD0ED" w:themeFill="text1" w:themeFillTint="33"/>
          </w:tcPr>
          <w:p w14:paraId="2164C067"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135E31F" w14:textId="77777777" w:rsidR="00636E01" w:rsidRPr="00636E01" w:rsidRDefault="00636E01" w:rsidP="003652C9">
            <w:pPr>
              <w:pStyle w:val="Table-Text"/>
              <w:rPr>
                <w:rFonts w:ascii="Arial" w:hAnsi="Arial" w:cs="Arial"/>
                <w:szCs w:val="20"/>
              </w:rPr>
            </w:pPr>
          </w:p>
        </w:tc>
      </w:tr>
      <w:tr w:rsidR="00636E01" w:rsidRPr="001E7EBA" w14:paraId="34B7F7BB" w14:textId="77777777" w:rsidTr="00386DE9">
        <w:trPr>
          <w:gridAfter w:val="1"/>
          <w:wAfter w:w="11" w:type="dxa"/>
        </w:trPr>
        <w:tc>
          <w:tcPr>
            <w:tcW w:w="3261" w:type="dxa"/>
            <w:shd w:val="clear" w:color="auto" w:fill="DDD0ED" w:themeFill="text1" w:themeFillTint="33"/>
          </w:tcPr>
          <w:p w14:paraId="4E550159" w14:textId="77777777" w:rsidR="00636E01" w:rsidRPr="00636E01" w:rsidRDefault="00636E01" w:rsidP="003652C9">
            <w:pPr>
              <w:pStyle w:val="Table-Text"/>
              <w:rPr>
                <w:rFonts w:ascii="Arial" w:hAnsi="Arial" w:cs="Arial"/>
                <w:szCs w:val="20"/>
              </w:rPr>
            </w:pPr>
            <w:r w:rsidRPr="00636E01">
              <w:rPr>
                <w:rFonts w:ascii="Arial" w:hAnsi="Arial" w:cs="Arial"/>
                <w:szCs w:val="20"/>
              </w:rPr>
              <w:t>SEPP (Mining, Petroleum Production and Extractive Industries)</w:t>
            </w:r>
          </w:p>
        </w:tc>
        <w:tc>
          <w:tcPr>
            <w:tcW w:w="1913" w:type="dxa"/>
            <w:shd w:val="clear" w:color="auto" w:fill="DDD0ED" w:themeFill="text1" w:themeFillTint="33"/>
          </w:tcPr>
          <w:p w14:paraId="2E2182AF"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569F34C3" w14:textId="77777777" w:rsidR="00636E01" w:rsidRPr="00636E01" w:rsidRDefault="00636E01" w:rsidP="003652C9">
            <w:pPr>
              <w:pStyle w:val="Table-Text"/>
              <w:rPr>
                <w:rFonts w:ascii="Arial" w:hAnsi="Arial" w:cs="Arial"/>
                <w:szCs w:val="20"/>
              </w:rPr>
            </w:pPr>
          </w:p>
        </w:tc>
      </w:tr>
      <w:tr w:rsidR="00636E01" w:rsidRPr="001E7EBA" w14:paraId="08507BEC" w14:textId="77777777" w:rsidTr="00386DE9">
        <w:trPr>
          <w:gridAfter w:val="1"/>
          <w:wAfter w:w="11" w:type="dxa"/>
        </w:trPr>
        <w:tc>
          <w:tcPr>
            <w:tcW w:w="3261" w:type="dxa"/>
            <w:shd w:val="clear" w:color="auto" w:fill="DDD0ED" w:themeFill="text1" w:themeFillTint="33"/>
          </w:tcPr>
          <w:p w14:paraId="10A78113" w14:textId="77777777" w:rsidR="00636E01" w:rsidRPr="00636E01" w:rsidRDefault="00636E01" w:rsidP="003652C9">
            <w:pPr>
              <w:pStyle w:val="Table-Text"/>
              <w:rPr>
                <w:rFonts w:ascii="Arial" w:hAnsi="Arial" w:cs="Arial"/>
                <w:szCs w:val="20"/>
              </w:rPr>
            </w:pPr>
            <w:r w:rsidRPr="00636E01">
              <w:rPr>
                <w:rFonts w:ascii="Arial" w:hAnsi="Arial" w:cs="Arial"/>
                <w:szCs w:val="20"/>
              </w:rPr>
              <w:t>SEPP (Penrith Lakes Scheme) 1989</w:t>
            </w:r>
          </w:p>
        </w:tc>
        <w:tc>
          <w:tcPr>
            <w:tcW w:w="1913" w:type="dxa"/>
            <w:shd w:val="clear" w:color="auto" w:fill="DDD0ED" w:themeFill="text1" w:themeFillTint="33"/>
          </w:tcPr>
          <w:p w14:paraId="050F7BF7"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3E135FD6" w14:textId="77777777" w:rsidR="00636E01" w:rsidRPr="00636E01" w:rsidRDefault="00636E01" w:rsidP="003652C9">
            <w:pPr>
              <w:pStyle w:val="Table-Text"/>
              <w:rPr>
                <w:rFonts w:ascii="Arial" w:hAnsi="Arial" w:cs="Arial"/>
                <w:szCs w:val="20"/>
              </w:rPr>
            </w:pPr>
          </w:p>
        </w:tc>
      </w:tr>
      <w:tr w:rsidR="00636E01" w:rsidRPr="001E7EBA" w14:paraId="77724905" w14:textId="77777777" w:rsidTr="00386DE9">
        <w:trPr>
          <w:gridAfter w:val="1"/>
          <w:wAfter w:w="11" w:type="dxa"/>
        </w:trPr>
        <w:tc>
          <w:tcPr>
            <w:tcW w:w="3261" w:type="dxa"/>
            <w:shd w:val="clear" w:color="auto" w:fill="DDD0ED" w:themeFill="text1" w:themeFillTint="33"/>
          </w:tcPr>
          <w:p w14:paraId="12AEC4C9" w14:textId="77777777" w:rsidR="00636E01" w:rsidRPr="00636E01" w:rsidRDefault="00636E01" w:rsidP="003652C9">
            <w:pPr>
              <w:pStyle w:val="Table-Text"/>
              <w:rPr>
                <w:rFonts w:ascii="Arial" w:hAnsi="Arial" w:cs="Arial"/>
                <w:szCs w:val="20"/>
              </w:rPr>
            </w:pPr>
            <w:r w:rsidRPr="00636E01">
              <w:rPr>
                <w:rFonts w:ascii="Arial" w:hAnsi="Arial" w:cs="Arial"/>
                <w:szCs w:val="20"/>
              </w:rPr>
              <w:t>SEPP (Primary Production and Rural Development 2019</w:t>
            </w:r>
          </w:p>
        </w:tc>
        <w:tc>
          <w:tcPr>
            <w:tcW w:w="1913" w:type="dxa"/>
            <w:shd w:val="clear" w:color="auto" w:fill="DDD0ED" w:themeFill="text1" w:themeFillTint="33"/>
          </w:tcPr>
          <w:p w14:paraId="55C00166"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4202909A" w14:textId="77777777" w:rsidR="00636E01" w:rsidRPr="00636E01" w:rsidRDefault="00636E01" w:rsidP="003652C9">
            <w:pPr>
              <w:pStyle w:val="Table-Text"/>
              <w:rPr>
                <w:rFonts w:ascii="Arial" w:hAnsi="Arial" w:cs="Arial"/>
                <w:szCs w:val="20"/>
              </w:rPr>
            </w:pPr>
            <w:r w:rsidRPr="00636E01">
              <w:rPr>
                <w:rFonts w:ascii="Arial" w:hAnsi="Arial" w:cs="Arial"/>
                <w:szCs w:val="20"/>
              </w:rPr>
              <w:t>The proposal does not contradict or hinder the application of the SEPP.</w:t>
            </w:r>
          </w:p>
        </w:tc>
      </w:tr>
      <w:tr w:rsidR="00636E01" w:rsidRPr="001E7EBA" w14:paraId="7355B003" w14:textId="77777777" w:rsidTr="00386DE9">
        <w:trPr>
          <w:gridAfter w:val="1"/>
          <w:wAfter w:w="11" w:type="dxa"/>
        </w:trPr>
        <w:tc>
          <w:tcPr>
            <w:tcW w:w="3261" w:type="dxa"/>
            <w:shd w:val="clear" w:color="auto" w:fill="DDD0ED" w:themeFill="text1" w:themeFillTint="33"/>
            <w:vAlign w:val="center"/>
          </w:tcPr>
          <w:p w14:paraId="7668464A" w14:textId="77777777" w:rsidR="00636E01" w:rsidRPr="00636E01" w:rsidRDefault="00636E01" w:rsidP="003652C9">
            <w:pPr>
              <w:pStyle w:val="Table-Text"/>
              <w:rPr>
                <w:rFonts w:ascii="Arial" w:hAnsi="Arial" w:cs="Arial"/>
                <w:szCs w:val="20"/>
              </w:rPr>
            </w:pPr>
            <w:r w:rsidRPr="00636E01">
              <w:rPr>
                <w:rFonts w:ascii="Arial" w:hAnsi="Arial" w:cs="Arial"/>
                <w:szCs w:val="20"/>
              </w:rPr>
              <w:t>SEPP (State and Regional Development) 2011</w:t>
            </w:r>
          </w:p>
        </w:tc>
        <w:tc>
          <w:tcPr>
            <w:tcW w:w="1913" w:type="dxa"/>
            <w:shd w:val="clear" w:color="auto" w:fill="DDD0ED" w:themeFill="text1" w:themeFillTint="33"/>
            <w:vAlign w:val="center"/>
          </w:tcPr>
          <w:p w14:paraId="195D804B"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30F7704" w14:textId="77777777" w:rsidR="00636E01" w:rsidRPr="00636E01" w:rsidRDefault="00636E01" w:rsidP="003652C9">
            <w:pPr>
              <w:pStyle w:val="Table-Text"/>
              <w:rPr>
                <w:rFonts w:ascii="Arial" w:hAnsi="Arial" w:cs="Arial"/>
                <w:szCs w:val="20"/>
              </w:rPr>
            </w:pPr>
          </w:p>
        </w:tc>
      </w:tr>
      <w:tr w:rsidR="00636E01" w:rsidRPr="001E7EBA" w14:paraId="40018A4E" w14:textId="77777777" w:rsidTr="00386DE9">
        <w:trPr>
          <w:gridAfter w:val="1"/>
          <w:wAfter w:w="11" w:type="dxa"/>
        </w:trPr>
        <w:tc>
          <w:tcPr>
            <w:tcW w:w="3261" w:type="dxa"/>
            <w:shd w:val="clear" w:color="auto" w:fill="DDD0ED" w:themeFill="text1" w:themeFillTint="33"/>
          </w:tcPr>
          <w:p w14:paraId="394E61F2" w14:textId="77777777" w:rsidR="00636E01" w:rsidRPr="00636E01" w:rsidRDefault="00636E01" w:rsidP="003652C9">
            <w:pPr>
              <w:pStyle w:val="Table-Text"/>
              <w:rPr>
                <w:rFonts w:ascii="Arial" w:hAnsi="Arial" w:cs="Arial"/>
                <w:szCs w:val="20"/>
              </w:rPr>
            </w:pPr>
            <w:r w:rsidRPr="00636E01">
              <w:rPr>
                <w:rFonts w:ascii="Arial" w:hAnsi="Arial" w:cs="Arial"/>
                <w:szCs w:val="20"/>
              </w:rPr>
              <w:t>SEPP (State Significant Precincts) 2005</w:t>
            </w:r>
          </w:p>
        </w:tc>
        <w:tc>
          <w:tcPr>
            <w:tcW w:w="1913" w:type="dxa"/>
            <w:shd w:val="clear" w:color="auto" w:fill="DDD0ED" w:themeFill="text1" w:themeFillTint="33"/>
          </w:tcPr>
          <w:p w14:paraId="0F104853"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7EB34F99" w14:textId="77777777" w:rsidR="00636E01" w:rsidRPr="00636E01" w:rsidRDefault="00636E01" w:rsidP="003652C9">
            <w:pPr>
              <w:pStyle w:val="Table-Text"/>
              <w:rPr>
                <w:rFonts w:ascii="Arial" w:hAnsi="Arial" w:cs="Arial"/>
                <w:szCs w:val="20"/>
              </w:rPr>
            </w:pPr>
          </w:p>
        </w:tc>
      </w:tr>
      <w:tr w:rsidR="00636E01" w:rsidRPr="001E7EBA" w14:paraId="1DC95F60" w14:textId="77777777" w:rsidTr="00386DE9">
        <w:trPr>
          <w:gridAfter w:val="1"/>
          <w:wAfter w:w="11" w:type="dxa"/>
        </w:trPr>
        <w:tc>
          <w:tcPr>
            <w:tcW w:w="3261" w:type="dxa"/>
            <w:shd w:val="clear" w:color="auto" w:fill="DDD0ED" w:themeFill="text1" w:themeFillTint="33"/>
          </w:tcPr>
          <w:p w14:paraId="1623B791" w14:textId="77777777" w:rsidR="00636E01" w:rsidRPr="00636E01" w:rsidRDefault="00636E01" w:rsidP="003652C9">
            <w:pPr>
              <w:pStyle w:val="Table-Text"/>
              <w:rPr>
                <w:rFonts w:ascii="Arial" w:hAnsi="Arial" w:cs="Arial"/>
                <w:szCs w:val="20"/>
              </w:rPr>
            </w:pPr>
            <w:r w:rsidRPr="00636E01">
              <w:rPr>
                <w:rFonts w:ascii="Arial" w:hAnsi="Arial" w:cs="Arial"/>
                <w:szCs w:val="20"/>
              </w:rPr>
              <w:t>SEPP (Sydney Drinking Water Catchment) 2011</w:t>
            </w:r>
          </w:p>
        </w:tc>
        <w:tc>
          <w:tcPr>
            <w:tcW w:w="1913" w:type="dxa"/>
            <w:shd w:val="clear" w:color="auto" w:fill="DDD0ED" w:themeFill="text1" w:themeFillTint="33"/>
          </w:tcPr>
          <w:p w14:paraId="7345F85C"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5E55D496" w14:textId="77777777" w:rsidR="00636E01" w:rsidRPr="00636E01" w:rsidRDefault="00636E01" w:rsidP="003652C9">
            <w:pPr>
              <w:pStyle w:val="Table-Text"/>
              <w:rPr>
                <w:rFonts w:ascii="Arial" w:hAnsi="Arial" w:cs="Arial"/>
                <w:szCs w:val="20"/>
              </w:rPr>
            </w:pPr>
          </w:p>
        </w:tc>
      </w:tr>
      <w:tr w:rsidR="00636E01" w:rsidRPr="001E7EBA" w14:paraId="106EB3EE" w14:textId="77777777" w:rsidTr="00386DE9">
        <w:trPr>
          <w:gridAfter w:val="1"/>
          <w:wAfter w:w="11" w:type="dxa"/>
        </w:trPr>
        <w:tc>
          <w:tcPr>
            <w:tcW w:w="3261" w:type="dxa"/>
            <w:shd w:val="clear" w:color="auto" w:fill="DDD0ED" w:themeFill="text1" w:themeFillTint="33"/>
          </w:tcPr>
          <w:p w14:paraId="515CBA65" w14:textId="77777777" w:rsidR="00636E01" w:rsidRPr="00636E01" w:rsidRDefault="00636E01" w:rsidP="003652C9">
            <w:pPr>
              <w:pStyle w:val="Table-Text"/>
              <w:rPr>
                <w:rFonts w:ascii="Arial" w:hAnsi="Arial" w:cs="Arial"/>
                <w:szCs w:val="20"/>
              </w:rPr>
            </w:pPr>
            <w:r w:rsidRPr="00636E01">
              <w:rPr>
                <w:rFonts w:ascii="Arial" w:hAnsi="Arial" w:cs="Arial"/>
                <w:szCs w:val="20"/>
              </w:rPr>
              <w:t>SEPP (Sydney Region Growth Centres) 2006</w:t>
            </w:r>
          </w:p>
        </w:tc>
        <w:tc>
          <w:tcPr>
            <w:tcW w:w="1913" w:type="dxa"/>
            <w:shd w:val="clear" w:color="auto" w:fill="DDD0ED" w:themeFill="text1" w:themeFillTint="33"/>
          </w:tcPr>
          <w:p w14:paraId="6D678A55"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832D052" w14:textId="77777777" w:rsidR="00636E01" w:rsidRPr="00636E01" w:rsidRDefault="00636E01" w:rsidP="003652C9">
            <w:pPr>
              <w:pStyle w:val="Table-Text"/>
              <w:rPr>
                <w:rFonts w:ascii="Arial" w:hAnsi="Arial" w:cs="Arial"/>
                <w:szCs w:val="20"/>
              </w:rPr>
            </w:pPr>
          </w:p>
        </w:tc>
      </w:tr>
      <w:tr w:rsidR="00636E01" w:rsidRPr="001E7EBA" w14:paraId="0C1E309F" w14:textId="77777777" w:rsidTr="00386DE9">
        <w:trPr>
          <w:gridAfter w:val="1"/>
          <w:wAfter w:w="11" w:type="dxa"/>
        </w:trPr>
        <w:tc>
          <w:tcPr>
            <w:tcW w:w="3261" w:type="dxa"/>
            <w:shd w:val="clear" w:color="auto" w:fill="DDD0ED" w:themeFill="text1" w:themeFillTint="33"/>
          </w:tcPr>
          <w:p w14:paraId="01F978A6" w14:textId="77777777" w:rsidR="00636E01" w:rsidRPr="00636E01" w:rsidRDefault="00636E01" w:rsidP="003652C9">
            <w:pPr>
              <w:pStyle w:val="Table-Text"/>
              <w:rPr>
                <w:rFonts w:ascii="Arial" w:hAnsi="Arial" w:cs="Arial"/>
                <w:szCs w:val="20"/>
              </w:rPr>
            </w:pPr>
            <w:r w:rsidRPr="00636E01">
              <w:rPr>
                <w:rFonts w:ascii="Arial" w:hAnsi="Arial" w:cs="Arial"/>
                <w:szCs w:val="20"/>
              </w:rPr>
              <w:t>SEPP (Three Ports) 2013</w:t>
            </w:r>
          </w:p>
        </w:tc>
        <w:tc>
          <w:tcPr>
            <w:tcW w:w="1913" w:type="dxa"/>
            <w:shd w:val="clear" w:color="auto" w:fill="DDD0ED" w:themeFill="text1" w:themeFillTint="33"/>
          </w:tcPr>
          <w:p w14:paraId="5A961AD8"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4B90C68F" w14:textId="77777777" w:rsidR="00636E01" w:rsidRPr="00636E01" w:rsidRDefault="00636E01" w:rsidP="003652C9">
            <w:pPr>
              <w:pStyle w:val="Table-Text"/>
              <w:rPr>
                <w:rFonts w:ascii="Arial" w:hAnsi="Arial" w:cs="Arial"/>
                <w:szCs w:val="20"/>
              </w:rPr>
            </w:pPr>
          </w:p>
        </w:tc>
      </w:tr>
      <w:tr w:rsidR="00636E01" w:rsidRPr="001E7EBA" w14:paraId="71887227" w14:textId="77777777" w:rsidTr="00386DE9">
        <w:trPr>
          <w:gridAfter w:val="1"/>
          <w:wAfter w:w="11" w:type="dxa"/>
        </w:trPr>
        <w:tc>
          <w:tcPr>
            <w:tcW w:w="3261" w:type="dxa"/>
            <w:shd w:val="clear" w:color="auto" w:fill="DDD0ED" w:themeFill="text1" w:themeFillTint="33"/>
          </w:tcPr>
          <w:p w14:paraId="7D3C00FA" w14:textId="77777777" w:rsidR="00636E01" w:rsidRPr="00636E01" w:rsidRDefault="00636E01" w:rsidP="003652C9">
            <w:pPr>
              <w:pStyle w:val="Table-Text"/>
              <w:rPr>
                <w:rFonts w:ascii="Arial" w:hAnsi="Arial" w:cs="Arial"/>
                <w:szCs w:val="20"/>
              </w:rPr>
            </w:pPr>
            <w:r w:rsidRPr="00636E01">
              <w:rPr>
                <w:rFonts w:ascii="Arial" w:hAnsi="Arial" w:cs="Arial"/>
                <w:szCs w:val="20"/>
              </w:rPr>
              <w:t>SEPP (Urban Renewal) 2010</w:t>
            </w:r>
          </w:p>
        </w:tc>
        <w:tc>
          <w:tcPr>
            <w:tcW w:w="1913" w:type="dxa"/>
            <w:shd w:val="clear" w:color="auto" w:fill="DDD0ED" w:themeFill="text1" w:themeFillTint="33"/>
          </w:tcPr>
          <w:p w14:paraId="01FE6006"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16B67A8F" w14:textId="77777777" w:rsidR="00636E01" w:rsidRPr="00636E01" w:rsidRDefault="00636E01" w:rsidP="003652C9">
            <w:pPr>
              <w:pStyle w:val="Table-Text"/>
              <w:rPr>
                <w:rFonts w:ascii="Arial" w:hAnsi="Arial" w:cs="Arial"/>
                <w:szCs w:val="20"/>
              </w:rPr>
            </w:pPr>
          </w:p>
        </w:tc>
      </w:tr>
      <w:tr w:rsidR="00636E01" w:rsidRPr="001E7EBA" w14:paraId="19D4376A" w14:textId="77777777" w:rsidTr="00386DE9">
        <w:trPr>
          <w:gridAfter w:val="1"/>
          <w:wAfter w:w="11" w:type="dxa"/>
        </w:trPr>
        <w:tc>
          <w:tcPr>
            <w:tcW w:w="3261" w:type="dxa"/>
            <w:shd w:val="clear" w:color="auto" w:fill="DDD0ED" w:themeFill="text1" w:themeFillTint="33"/>
          </w:tcPr>
          <w:p w14:paraId="1A902779" w14:textId="77777777" w:rsidR="00636E01" w:rsidRPr="00636E01" w:rsidRDefault="00636E01" w:rsidP="003652C9">
            <w:pPr>
              <w:pStyle w:val="Table-Text"/>
              <w:rPr>
                <w:rFonts w:ascii="Arial" w:hAnsi="Arial" w:cs="Arial"/>
                <w:szCs w:val="20"/>
              </w:rPr>
            </w:pPr>
            <w:r w:rsidRPr="00636E01">
              <w:rPr>
                <w:rFonts w:ascii="Arial" w:hAnsi="Arial" w:cs="Arial"/>
                <w:szCs w:val="20"/>
              </w:rPr>
              <w:t>SEPP (Vegetation in Non-Rural Areas) 2017</w:t>
            </w:r>
          </w:p>
        </w:tc>
        <w:tc>
          <w:tcPr>
            <w:tcW w:w="1913" w:type="dxa"/>
            <w:shd w:val="clear" w:color="auto" w:fill="DDD0ED" w:themeFill="text1" w:themeFillTint="33"/>
          </w:tcPr>
          <w:p w14:paraId="2747169D"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6D3B4DB7"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proposal is supported by a Biodiversity Assessment, which notes the site has been subject to considerable vegetation disturbance and does not contain remnant native vegetation. </w:t>
            </w:r>
          </w:p>
          <w:p w14:paraId="72A0B1DC" w14:textId="54206A19" w:rsidR="00636E01" w:rsidRPr="00636E01" w:rsidRDefault="00636E01" w:rsidP="003652C9">
            <w:pPr>
              <w:pStyle w:val="Table-Text"/>
              <w:rPr>
                <w:rFonts w:ascii="Arial" w:hAnsi="Arial" w:cs="Arial"/>
                <w:szCs w:val="20"/>
              </w:rPr>
            </w:pPr>
            <w:r w:rsidRPr="00636E01">
              <w:rPr>
                <w:rFonts w:ascii="Arial" w:hAnsi="Arial" w:cs="Arial"/>
                <w:szCs w:val="20"/>
              </w:rPr>
              <w:t xml:space="preserve">Any potential ecological communities discovered on site through detailed investigations may require a Biodiversity Development Assessment Report (BDAR) to determine ecosystem credits and offsets. </w:t>
            </w:r>
          </w:p>
        </w:tc>
      </w:tr>
      <w:tr w:rsidR="00636E01" w:rsidRPr="001E7EBA" w14:paraId="157C690A" w14:textId="77777777" w:rsidTr="00386DE9">
        <w:trPr>
          <w:gridAfter w:val="1"/>
          <w:wAfter w:w="11" w:type="dxa"/>
        </w:trPr>
        <w:tc>
          <w:tcPr>
            <w:tcW w:w="3261" w:type="dxa"/>
            <w:shd w:val="clear" w:color="auto" w:fill="DDD0ED" w:themeFill="text1" w:themeFillTint="33"/>
          </w:tcPr>
          <w:p w14:paraId="7D5EA5F6" w14:textId="77777777" w:rsidR="00636E01" w:rsidRPr="00636E01" w:rsidRDefault="00636E01" w:rsidP="003652C9">
            <w:pPr>
              <w:pStyle w:val="Table-Text"/>
              <w:rPr>
                <w:rFonts w:ascii="Arial" w:hAnsi="Arial" w:cs="Arial"/>
                <w:szCs w:val="20"/>
              </w:rPr>
            </w:pPr>
            <w:r w:rsidRPr="00636E01">
              <w:rPr>
                <w:rFonts w:ascii="Arial" w:hAnsi="Arial" w:cs="Arial"/>
                <w:szCs w:val="20"/>
              </w:rPr>
              <w:lastRenderedPageBreak/>
              <w:t>SEPP (Western Sydney Employment Area) 2009</w:t>
            </w:r>
          </w:p>
        </w:tc>
        <w:tc>
          <w:tcPr>
            <w:tcW w:w="1913" w:type="dxa"/>
            <w:shd w:val="clear" w:color="auto" w:fill="DDD0ED" w:themeFill="text1" w:themeFillTint="33"/>
          </w:tcPr>
          <w:p w14:paraId="3311C102"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4B264045" w14:textId="77777777" w:rsidR="00636E01" w:rsidRPr="00636E01" w:rsidRDefault="00636E01" w:rsidP="003652C9">
            <w:pPr>
              <w:pStyle w:val="Table-Text"/>
              <w:rPr>
                <w:rFonts w:ascii="Arial" w:hAnsi="Arial" w:cs="Arial"/>
                <w:szCs w:val="20"/>
              </w:rPr>
            </w:pPr>
          </w:p>
        </w:tc>
      </w:tr>
      <w:tr w:rsidR="00636E01" w:rsidRPr="001E7EBA" w14:paraId="55617E5C" w14:textId="77777777" w:rsidTr="00386DE9">
        <w:trPr>
          <w:gridAfter w:val="1"/>
          <w:wAfter w:w="11" w:type="dxa"/>
        </w:trPr>
        <w:tc>
          <w:tcPr>
            <w:tcW w:w="3261" w:type="dxa"/>
            <w:shd w:val="clear" w:color="auto" w:fill="DDD0ED" w:themeFill="text1" w:themeFillTint="33"/>
          </w:tcPr>
          <w:p w14:paraId="60D67388" w14:textId="77777777" w:rsidR="00636E01" w:rsidRPr="00636E01" w:rsidRDefault="00636E01" w:rsidP="003652C9">
            <w:pPr>
              <w:pStyle w:val="Table-Text"/>
              <w:rPr>
                <w:rFonts w:ascii="Arial" w:hAnsi="Arial" w:cs="Arial"/>
                <w:szCs w:val="20"/>
              </w:rPr>
            </w:pPr>
            <w:r w:rsidRPr="00636E01">
              <w:rPr>
                <w:rFonts w:ascii="Arial" w:hAnsi="Arial" w:cs="Arial"/>
                <w:szCs w:val="20"/>
              </w:rPr>
              <w:t>SEPP (Western Sydney Parklands) 2009</w:t>
            </w:r>
          </w:p>
        </w:tc>
        <w:tc>
          <w:tcPr>
            <w:tcW w:w="1913" w:type="dxa"/>
            <w:shd w:val="clear" w:color="auto" w:fill="DDD0ED" w:themeFill="text1" w:themeFillTint="33"/>
          </w:tcPr>
          <w:p w14:paraId="1E1B0C83"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Not Applicable. </w:t>
            </w:r>
          </w:p>
        </w:tc>
        <w:tc>
          <w:tcPr>
            <w:tcW w:w="3510" w:type="dxa"/>
            <w:shd w:val="clear" w:color="auto" w:fill="DDD0ED" w:themeFill="text1" w:themeFillTint="33"/>
          </w:tcPr>
          <w:p w14:paraId="0EBBCAD8" w14:textId="77777777" w:rsidR="00636E01" w:rsidRPr="00636E01" w:rsidRDefault="00636E01" w:rsidP="003652C9">
            <w:pPr>
              <w:pStyle w:val="Table-Text"/>
              <w:rPr>
                <w:rFonts w:ascii="Arial" w:hAnsi="Arial" w:cs="Arial"/>
                <w:szCs w:val="20"/>
              </w:rPr>
            </w:pPr>
          </w:p>
        </w:tc>
      </w:tr>
      <w:tr w:rsidR="00636E01" w:rsidRPr="00BE1F21" w14:paraId="4B1F45A2" w14:textId="77777777" w:rsidTr="00386DE9">
        <w:trPr>
          <w:gridAfter w:val="1"/>
          <w:wAfter w:w="11" w:type="dxa"/>
        </w:trPr>
        <w:tc>
          <w:tcPr>
            <w:tcW w:w="3261" w:type="dxa"/>
            <w:shd w:val="clear" w:color="auto" w:fill="DDD0ED" w:themeFill="text1" w:themeFillTint="33"/>
          </w:tcPr>
          <w:p w14:paraId="18396A9D" w14:textId="77777777" w:rsidR="00636E01" w:rsidRPr="00636E01" w:rsidRDefault="00636E01" w:rsidP="003652C9">
            <w:pPr>
              <w:pStyle w:val="Table-Text"/>
              <w:rPr>
                <w:rFonts w:ascii="Arial" w:hAnsi="Arial" w:cs="Arial"/>
                <w:szCs w:val="20"/>
              </w:rPr>
            </w:pPr>
            <w:r w:rsidRPr="00636E01">
              <w:rPr>
                <w:rFonts w:ascii="Arial" w:hAnsi="Arial" w:cs="Arial"/>
                <w:szCs w:val="20"/>
              </w:rPr>
              <w:t>Greater Metropolitan REP No. 2 – Georges River Catchment</w:t>
            </w:r>
          </w:p>
        </w:tc>
        <w:tc>
          <w:tcPr>
            <w:tcW w:w="1913" w:type="dxa"/>
            <w:shd w:val="clear" w:color="auto" w:fill="DDD0ED" w:themeFill="text1" w:themeFillTint="33"/>
          </w:tcPr>
          <w:p w14:paraId="6DBBBEAE"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Consistent. </w:t>
            </w:r>
          </w:p>
        </w:tc>
        <w:tc>
          <w:tcPr>
            <w:tcW w:w="3510" w:type="dxa"/>
            <w:shd w:val="clear" w:color="auto" w:fill="DDD0ED" w:themeFill="text1" w:themeFillTint="33"/>
          </w:tcPr>
          <w:p w14:paraId="568F1B83" w14:textId="77777777" w:rsidR="00636E01" w:rsidRPr="00636E01" w:rsidRDefault="00636E01" w:rsidP="003652C9">
            <w:pPr>
              <w:pStyle w:val="Table-Text"/>
              <w:rPr>
                <w:rFonts w:ascii="Arial" w:hAnsi="Arial" w:cs="Arial"/>
                <w:szCs w:val="20"/>
              </w:rPr>
            </w:pPr>
            <w:r w:rsidRPr="00636E01">
              <w:rPr>
                <w:rFonts w:ascii="Arial" w:hAnsi="Arial" w:cs="Arial"/>
                <w:szCs w:val="20"/>
              </w:rPr>
              <w:t xml:space="preserve">The proposal is consistent with the Planning Principles contained in the REP including Acid Sulfate Soils, bank disturbance, flooding and water quality. </w:t>
            </w:r>
          </w:p>
        </w:tc>
      </w:tr>
      <w:tr w:rsidR="00636E01" w:rsidRPr="001E7EBA" w14:paraId="385C7CE3" w14:textId="77777777" w:rsidTr="00386DE9">
        <w:trPr>
          <w:gridAfter w:val="1"/>
          <w:wAfter w:w="11" w:type="dxa"/>
        </w:trPr>
        <w:tc>
          <w:tcPr>
            <w:tcW w:w="3261" w:type="dxa"/>
            <w:shd w:val="clear" w:color="auto" w:fill="DDD0ED" w:themeFill="text1" w:themeFillTint="33"/>
          </w:tcPr>
          <w:p w14:paraId="09BF37EA" w14:textId="77777777" w:rsidR="00636E01" w:rsidRPr="00636E01" w:rsidRDefault="00636E01" w:rsidP="003652C9">
            <w:pPr>
              <w:pStyle w:val="Table-Text"/>
              <w:rPr>
                <w:rFonts w:ascii="Arial" w:hAnsi="Arial" w:cs="Arial"/>
                <w:szCs w:val="20"/>
              </w:rPr>
            </w:pPr>
            <w:r w:rsidRPr="00636E01">
              <w:rPr>
                <w:rFonts w:ascii="Arial" w:hAnsi="Arial" w:cs="Arial"/>
                <w:szCs w:val="20"/>
              </w:rPr>
              <w:t>SREP No. 8 – Central Coast Plateau Areas</w:t>
            </w:r>
          </w:p>
        </w:tc>
        <w:tc>
          <w:tcPr>
            <w:tcW w:w="1913" w:type="dxa"/>
            <w:shd w:val="clear" w:color="auto" w:fill="DDD0ED" w:themeFill="text1" w:themeFillTint="33"/>
          </w:tcPr>
          <w:p w14:paraId="07D0BA3E"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6D8592C5" w14:textId="77777777" w:rsidR="00636E01" w:rsidRPr="00636E01" w:rsidRDefault="00636E01" w:rsidP="003652C9">
            <w:pPr>
              <w:pStyle w:val="Table-Text"/>
              <w:rPr>
                <w:rFonts w:ascii="Arial" w:hAnsi="Arial" w:cs="Arial"/>
                <w:szCs w:val="20"/>
              </w:rPr>
            </w:pPr>
          </w:p>
        </w:tc>
      </w:tr>
      <w:tr w:rsidR="00636E01" w:rsidRPr="001E7EBA" w14:paraId="31D640D2" w14:textId="77777777" w:rsidTr="00386DE9">
        <w:trPr>
          <w:gridAfter w:val="1"/>
          <w:wAfter w:w="11" w:type="dxa"/>
        </w:trPr>
        <w:tc>
          <w:tcPr>
            <w:tcW w:w="3261" w:type="dxa"/>
            <w:shd w:val="clear" w:color="auto" w:fill="DDD0ED" w:themeFill="text1" w:themeFillTint="33"/>
          </w:tcPr>
          <w:p w14:paraId="4F2FEAE7" w14:textId="77777777" w:rsidR="00636E01" w:rsidRPr="00636E01" w:rsidRDefault="00636E01" w:rsidP="003652C9">
            <w:pPr>
              <w:pStyle w:val="Table-Text"/>
              <w:rPr>
                <w:rFonts w:ascii="Arial" w:hAnsi="Arial" w:cs="Arial"/>
                <w:szCs w:val="20"/>
              </w:rPr>
            </w:pPr>
            <w:r w:rsidRPr="00636E01">
              <w:rPr>
                <w:rFonts w:ascii="Arial" w:hAnsi="Arial" w:cs="Arial"/>
                <w:szCs w:val="20"/>
              </w:rPr>
              <w:t>SREP No. 9 – Extractive Industry (No 2 – 1995)</w:t>
            </w:r>
          </w:p>
        </w:tc>
        <w:tc>
          <w:tcPr>
            <w:tcW w:w="1913" w:type="dxa"/>
            <w:shd w:val="clear" w:color="auto" w:fill="DDD0ED" w:themeFill="text1" w:themeFillTint="33"/>
          </w:tcPr>
          <w:p w14:paraId="7C5382F8"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2AD4693E" w14:textId="77777777" w:rsidR="00636E01" w:rsidRPr="00636E01" w:rsidRDefault="00636E01" w:rsidP="003652C9">
            <w:pPr>
              <w:pStyle w:val="Table-Text"/>
              <w:rPr>
                <w:rFonts w:ascii="Arial" w:hAnsi="Arial" w:cs="Arial"/>
                <w:szCs w:val="20"/>
              </w:rPr>
            </w:pPr>
          </w:p>
        </w:tc>
      </w:tr>
      <w:tr w:rsidR="00636E01" w:rsidRPr="001E7EBA" w14:paraId="264AB68F" w14:textId="77777777" w:rsidTr="00386DE9">
        <w:trPr>
          <w:gridAfter w:val="1"/>
          <w:wAfter w:w="11" w:type="dxa"/>
        </w:trPr>
        <w:tc>
          <w:tcPr>
            <w:tcW w:w="3261" w:type="dxa"/>
            <w:shd w:val="clear" w:color="auto" w:fill="DDD0ED" w:themeFill="text1" w:themeFillTint="33"/>
          </w:tcPr>
          <w:p w14:paraId="03819534" w14:textId="77777777" w:rsidR="00636E01" w:rsidRPr="00636E01" w:rsidRDefault="00636E01" w:rsidP="003652C9">
            <w:pPr>
              <w:pStyle w:val="Table-Text"/>
              <w:rPr>
                <w:rFonts w:ascii="Arial" w:hAnsi="Arial" w:cs="Arial"/>
                <w:szCs w:val="20"/>
              </w:rPr>
            </w:pPr>
            <w:r w:rsidRPr="00636E01">
              <w:rPr>
                <w:rFonts w:ascii="Arial" w:hAnsi="Arial" w:cs="Arial"/>
                <w:szCs w:val="20"/>
              </w:rPr>
              <w:t>SREP No. 16 – Walsh Bay</w:t>
            </w:r>
          </w:p>
        </w:tc>
        <w:tc>
          <w:tcPr>
            <w:tcW w:w="1913" w:type="dxa"/>
            <w:shd w:val="clear" w:color="auto" w:fill="DDD0ED" w:themeFill="text1" w:themeFillTint="33"/>
          </w:tcPr>
          <w:p w14:paraId="1D45A85C"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14589B4E" w14:textId="77777777" w:rsidR="00636E01" w:rsidRPr="00636E01" w:rsidRDefault="00636E01" w:rsidP="003652C9">
            <w:pPr>
              <w:pStyle w:val="Table-Text"/>
              <w:rPr>
                <w:rFonts w:ascii="Arial" w:hAnsi="Arial" w:cs="Arial"/>
                <w:szCs w:val="20"/>
              </w:rPr>
            </w:pPr>
          </w:p>
        </w:tc>
      </w:tr>
      <w:tr w:rsidR="00636E01" w:rsidRPr="001E7EBA" w14:paraId="7EAC0AF5" w14:textId="77777777" w:rsidTr="00386DE9">
        <w:trPr>
          <w:gridAfter w:val="1"/>
          <w:wAfter w:w="11" w:type="dxa"/>
        </w:trPr>
        <w:tc>
          <w:tcPr>
            <w:tcW w:w="3261" w:type="dxa"/>
            <w:shd w:val="clear" w:color="auto" w:fill="DDD0ED" w:themeFill="text1" w:themeFillTint="33"/>
          </w:tcPr>
          <w:p w14:paraId="1B4A60C5" w14:textId="77777777" w:rsidR="00636E01" w:rsidRPr="00636E01" w:rsidRDefault="00636E01" w:rsidP="003652C9">
            <w:pPr>
              <w:pStyle w:val="Table-Text"/>
              <w:rPr>
                <w:rFonts w:ascii="Arial" w:hAnsi="Arial" w:cs="Arial"/>
                <w:szCs w:val="20"/>
              </w:rPr>
            </w:pPr>
            <w:r w:rsidRPr="00636E01">
              <w:rPr>
                <w:rFonts w:ascii="Arial" w:hAnsi="Arial" w:cs="Arial"/>
                <w:szCs w:val="20"/>
              </w:rPr>
              <w:t>SREP No. 20 – Hawkesbury – Nepean River (No 2 – 1997)</w:t>
            </w:r>
          </w:p>
        </w:tc>
        <w:tc>
          <w:tcPr>
            <w:tcW w:w="1913" w:type="dxa"/>
            <w:shd w:val="clear" w:color="auto" w:fill="DDD0ED" w:themeFill="text1" w:themeFillTint="33"/>
          </w:tcPr>
          <w:p w14:paraId="0F6F30B9"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37ACE3CD" w14:textId="77777777" w:rsidR="00636E01" w:rsidRPr="00636E01" w:rsidRDefault="00636E01" w:rsidP="003652C9">
            <w:pPr>
              <w:pStyle w:val="Table-Text"/>
              <w:rPr>
                <w:rFonts w:ascii="Arial" w:hAnsi="Arial" w:cs="Arial"/>
                <w:szCs w:val="20"/>
              </w:rPr>
            </w:pPr>
          </w:p>
        </w:tc>
      </w:tr>
      <w:tr w:rsidR="00636E01" w:rsidRPr="001E7EBA" w14:paraId="26599B21" w14:textId="77777777" w:rsidTr="00386DE9">
        <w:trPr>
          <w:gridAfter w:val="1"/>
          <w:wAfter w:w="11" w:type="dxa"/>
        </w:trPr>
        <w:tc>
          <w:tcPr>
            <w:tcW w:w="3261" w:type="dxa"/>
            <w:shd w:val="clear" w:color="auto" w:fill="DDD0ED" w:themeFill="text1" w:themeFillTint="33"/>
          </w:tcPr>
          <w:p w14:paraId="292D50E4" w14:textId="77777777" w:rsidR="00636E01" w:rsidRPr="00636E01" w:rsidRDefault="00636E01" w:rsidP="003652C9">
            <w:pPr>
              <w:pStyle w:val="Table-Text"/>
              <w:rPr>
                <w:rFonts w:ascii="Arial" w:hAnsi="Arial" w:cs="Arial"/>
                <w:szCs w:val="20"/>
              </w:rPr>
            </w:pPr>
            <w:r w:rsidRPr="00636E01">
              <w:rPr>
                <w:rFonts w:ascii="Arial" w:hAnsi="Arial" w:cs="Arial"/>
                <w:szCs w:val="20"/>
              </w:rPr>
              <w:t>SREP No. 24 – Homebush Bay Area</w:t>
            </w:r>
          </w:p>
        </w:tc>
        <w:tc>
          <w:tcPr>
            <w:tcW w:w="1913" w:type="dxa"/>
            <w:shd w:val="clear" w:color="auto" w:fill="DDD0ED" w:themeFill="text1" w:themeFillTint="33"/>
          </w:tcPr>
          <w:p w14:paraId="4A850648"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6C4ECE9F" w14:textId="77777777" w:rsidR="00636E01" w:rsidRPr="00636E01" w:rsidRDefault="00636E01" w:rsidP="003652C9">
            <w:pPr>
              <w:pStyle w:val="Table-Text"/>
              <w:rPr>
                <w:rFonts w:ascii="Arial" w:hAnsi="Arial" w:cs="Arial"/>
                <w:szCs w:val="20"/>
              </w:rPr>
            </w:pPr>
          </w:p>
        </w:tc>
      </w:tr>
      <w:tr w:rsidR="00636E01" w:rsidRPr="001E7EBA" w14:paraId="48302F91" w14:textId="77777777" w:rsidTr="00386DE9">
        <w:trPr>
          <w:gridAfter w:val="1"/>
          <w:wAfter w:w="11" w:type="dxa"/>
        </w:trPr>
        <w:tc>
          <w:tcPr>
            <w:tcW w:w="3261" w:type="dxa"/>
            <w:shd w:val="clear" w:color="auto" w:fill="DDD0ED" w:themeFill="text1" w:themeFillTint="33"/>
          </w:tcPr>
          <w:p w14:paraId="56A11415" w14:textId="77777777" w:rsidR="00636E01" w:rsidRPr="00636E01" w:rsidRDefault="00636E01" w:rsidP="003652C9">
            <w:pPr>
              <w:pStyle w:val="Table-Text"/>
              <w:rPr>
                <w:rFonts w:ascii="Arial" w:hAnsi="Arial" w:cs="Arial"/>
                <w:szCs w:val="20"/>
              </w:rPr>
            </w:pPr>
            <w:r w:rsidRPr="00636E01">
              <w:rPr>
                <w:rFonts w:ascii="Arial" w:hAnsi="Arial" w:cs="Arial"/>
                <w:szCs w:val="20"/>
              </w:rPr>
              <w:t>SREP No. 26 – City West</w:t>
            </w:r>
          </w:p>
        </w:tc>
        <w:tc>
          <w:tcPr>
            <w:tcW w:w="1913" w:type="dxa"/>
            <w:shd w:val="clear" w:color="auto" w:fill="DDD0ED" w:themeFill="text1" w:themeFillTint="33"/>
          </w:tcPr>
          <w:p w14:paraId="7C8C5453"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2E8BE72B" w14:textId="77777777" w:rsidR="00636E01" w:rsidRPr="00636E01" w:rsidRDefault="00636E01" w:rsidP="003652C9">
            <w:pPr>
              <w:pStyle w:val="Table-Text"/>
              <w:rPr>
                <w:rFonts w:ascii="Arial" w:hAnsi="Arial" w:cs="Arial"/>
                <w:szCs w:val="20"/>
              </w:rPr>
            </w:pPr>
          </w:p>
        </w:tc>
      </w:tr>
      <w:tr w:rsidR="00636E01" w:rsidRPr="001E7EBA" w14:paraId="2D8FB8F5" w14:textId="77777777" w:rsidTr="00386DE9">
        <w:trPr>
          <w:gridAfter w:val="1"/>
          <w:wAfter w:w="11" w:type="dxa"/>
        </w:trPr>
        <w:tc>
          <w:tcPr>
            <w:tcW w:w="3261" w:type="dxa"/>
            <w:shd w:val="clear" w:color="auto" w:fill="DDD0ED" w:themeFill="text1" w:themeFillTint="33"/>
          </w:tcPr>
          <w:p w14:paraId="7B9DAA6F" w14:textId="77777777" w:rsidR="00636E01" w:rsidRPr="00636E01" w:rsidRDefault="00636E01" w:rsidP="003652C9">
            <w:pPr>
              <w:pStyle w:val="Table-Text"/>
              <w:rPr>
                <w:rFonts w:ascii="Arial" w:hAnsi="Arial" w:cs="Arial"/>
                <w:szCs w:val="20"/>
              </w:rPr>
            </w:pPr>
            <w:r w:rsidRPr="00636E01">
              <w:rPr>
                <w:rFonts w:ascii="Arial" w:hAnsi="Arial" w:cs="Arial"/>
                <w:szCs w:val="20"/>
              </w:rPr>
              <w:t>SREP No. 30 – St Marys</w:t>
            </w:r>
          </w:p>
        </w:tc>
        <w:tc>
          <w:tcPr>
            <w:tcW w:w="1913" w:type="dxa"/>
            <w:shd w:val="clear" w:color="auto" w:fill="DDD0ED" w:themeFill="text1" w:themeFillTint="33"/>
          </w:tcPr>
          <w:p w14:paraId="6AA05F94"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257FA954" w14:textId="77777777" w:rsidR="00636E01" w:rsidRPr="00636E01" w:rsidRDefault="00636E01" w:rsidP="003652C9">
            <w:pPr>
              <w:pStyle w:val="Table-Text"/>
              <w:rPr>
                <w:rFonts w:ascii="Arial" w:hAnsi="Arial" w:cs="Arial"/>
                <w:szCs w:val="20"/>
              </w:rPr>
            </w:pPr>
          </w:p>
        </w:tc>
      </w:tr>
      <w:tr w:rsidR="00636E01" w:rsidRPr="001E7EBA" w14:paraId="426001F5" w14:textId="77777777" w:rsidTr="00386DE9">
        <w:trPr>
          <w:gridAfter w:val="1"/>
          <w:wAfter w:w="11" w:type="dxa"/>
        </w:trPr>
        <w:tc>
          <w:tcPr>
            <w:tcW w:w="3261" w:type="dxa"/>
            <w:shd w:val="clear" w:color="auto" w:fill="DDD0ED" w:themeFill="text1" w:themeFillTint="33"/>
          </w:tcPr>
          <w:p w14:paraId="7DB766BE" w14:textId="77777777" w:rsidR="00636E01" w:rsidRPr="00636E01" w:rsidRDefault="00636E01" w:rsidP="003652C9">
            <w:pPr>
              <w:pStyle w:val="Table-Text"/>
              <w:rPr>
                <w:rFonts w:ascii="Arial" w:hAnsi="Arial" w:cs="Arial"/>
                <w:szCs w:val="20"/>
              </w:rPr>
            </w:pPr>
            <w:r w:rsidRPr="00636E01">
              <w:rPr>
                <w:rFonts w:ascii="Arial" w:hAnsi="Arial" w:cs="Arial"/>
                <w:szCs w:val="20"/>
              </w:rPr>
              <w:t>SREP No. 33 – Cooks Cove</w:t>
            </w:r>
          </w:p>
        </w:tc>
        <w:tc>
          <w:tcPr>
            <w:tcW w:w="1913" w:type="dxa"/>
            <w:shd w:val="clear" w:color="auto" w:fill="DDD0ED" w:themeFill="text1" w:themeFillTint="33"/>
          </w:tcPr>
          <w:p w14:paraId="7FED7BC2"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54B1C1AE" w14:textId="77777777" w:rsidR="00636E01" w:rsidRPr="00636E01" w:rsidRDefault="00636E01" w:rsidP="003652C9">
            <w:pPr>
              <w:pStyle w:val="Table-Text"/>
              <w:rPr>
                <w:rFonts w:ascii="Arial" w:hAnsi="Arial" w:cs="Arial"/>
                <w:szCs w:val="20"/>
              </w:rPr>
            </w:pPr>
          </w:p>
        </w:tc>
      </w:tr>
      <w:tr w:rsidR="00636E01" w:rsidRPr="001E7EBA" w14:paraId="290FC255" w14:textId="77777777" w:rsidTr="00386DE9">
        <w:trPr>
          <w:gridAfter w:val="1"/>
          <w:wAfter w:w="11" w:type="dxa"/>
        </w:trPr>
        <w:tc>
          <w:tcPr>
            <w:tcW w:w="3261" w:type="dxa"/>
            <w:shd w:val="clear" w:color="auto" w:fill="DDD0ED" w:themeFill="text1" w:themeFillTint="33"/>
          </w:tcPr>
          <w:p w14:paraId="7837F45C" w14:textId="77777777" w:rsidR="00636E01" w:rsidRPr="00636E01" w:rsidRDefault="00636E01" w:rsidP="003652C9">
            <w:pPr>
              <w:pStyle w:val="Table-Text"/>
              <w:rPr>
                <w:rFonts w:ascii="Arial" w:hAnsi="Arial" w:cs="Arial"/>
                <w:szCs w:val="20"/>
              </w:rPr>
            </w:pPr>
            <w:r w:rsidRPr="00636E01">
              <w:rPr>
                <w:rFonts w:ascii="Arial" w:hAnsi="Arial" w:cs="Arial"/>
                <w:szCs w:val="20"/>
              </w:rPr>
              <w:t>SREP (Sydney Harbour Catchment) 2005</w:t>
            </w:r>
          </w:p>
        </w:tc>
        <w:tc>
          <w:tcPr>
            <w:tcW w:w="1913" w:type="dxa"/>
            <w:shd w:val="clear" w:color="auto" w:fill="DDD0ED" w:themeFill="text1" w:themeFillTint="33"/>
          </w:tcPr>
          <w:p w14:paraId="15A65DE4" w14:textId="77777777" w:rsidR="00636E01" w:rsidRPr="00636E01" w:rsidRDefault="00636E01" w:rsidP="003652C9">
            <w:pPr>
              <w:pStyle w:val="Table-Text"/>
              <w:rPr>
                <w:rFonts w:ascii="Arial" w:hAnsi="Arial" w:cs="Arial"/>
                <w:szCs w:val="20"/>
              </w:rPr>
            </w:pPr>
            <w:r w:rsidRPr="00636E01">
              <w:rPr>
                <w:rFonts w:ascii="Arial" w:hAnsi="Arial" w:cs="Arial"/>
                <w:szCs w:val="20"/>
              </w:rPr>
              <w:t>Not Applicable.</w:t>
            </w:r>
          </w:p>
        </w:tc>
        <w:tc>
          <w:tcPr>
            <w:tcW w:w="3510" w:type="dxa"/>
            <w:shd w:val="clear" w:color="auto" w:fill="DDD0ED" w:themeFill="text1" w:themeFillTint="33"/>
          </w:tcPr>
          <w:p w14:paraId="2A6CC008" w14:textId="77777777" w:rsidR="00636E01" w:rsidRPr="00636E01" w:rsidRDefault="00636E01" w:rsidP="003652C9">
            <w:pPr>
              <w:pStyle w:val="Table-Text"/>
              <w:rPr>
                <w:rFonts w:ascii="Arial" w:hAnsi="Arial" w:cs="Arial"/>
                <w:szCs w:val="20"/>
              </w:rPr>
            </w:pPr>
          </w:p>
        </w:tc>
      </w:tr>
    </w:tbl>
    <w:p w14:paraId="264B1F9A" w14:textId="77777777" w:rsidR="00F35058" w:rsidRDefault="00F35058" w:rsidP="00BA317F">
      <w:pPr>
        <w:pStyle w:val="Body-Black"/>
        <w:spacing w:after="0"/>
        <w:rPr>
          <w:lang w:eastAsia="ja-JP"/>
        </w:rPr>
      </w:pPr>
    </w:p>
    <w:p w14:paraId="14ABB652" w14:textId="6CE89BA7" w:rsidR="00183B6C" w:rsidRPr="00851E9E" w:rsidRDefault="00183B6C" w:rsidP="004F5AA0">
      <w:pPr>
        <w:pStyle w:val="Sub-Heading2-Purple"/>
        <w:numPr>
          <w:ilvl w:val="0"/>
          <w:numId w:val="1"/>
        </w:numPr>
        <w:spacing w:line="276" w:lineRule="auto"/>
        <w:rPr>
          <w:lang w:eastAsia="ja-JP"/>
        </w:rPr>
      </w:pPr>
      <w:r w:rsidRPr="00851E9E">
        <w:rPr>
          <w:lang w:eastAsia="ja-JP"/>
        </w:rPr>
        <w:t xml:space="preserve">Is the planning proposal consistent with applicable </w:t>
      </w:r>
      <w:r w:rsidR="008979CE">
        <w:rPr>
          <w:lang w:eastAsia="ja-JP"/>
        </w:rPr>
        <w:t>Ministerial Directions (Section</w:t>
      </w:r>
      <w:r w:rsidRPr="00851E9E">
        <w:rPr>
          <w:lang w:eastAsia="ja-JP"/>
        </w:rPr>
        <w:t xml:space="preserve"> </w:t>
      </w:r>
      <w:r w:rsidR="00C62389">
        <w:rPr>
          <w:lang w:eastAsia="ja-JP"/>
        </w:rPr>
        <w:t>9.1</w:t>
      </w:r>
      <w:r w:rsidRPr="00851E9E">
        <w:rPr>
          <w:lang w:eastAsia="ja-JP"/>
        </w:rPr>
        <w:t xml:space="preserve"> directions)?</w:t>
      </w:r>
    </w:p>
    <w:p w14:paraId="7C717AA7" w14:textId="0FF53FD8" w:rsidR="00F90287" w:rsidRDefault="00F90287" w:rsidP="004F5AA0">
      <w:pPr>
        <w:pStyle w:val="Caption"/>
        <w:keepNext/>
        <w:spacing w:line="276" w:lineRule="auto"/>
      </w:pPr>
      <w:bookmarkStart w:id="30" w:name="_Toc46145529"/>
      <w:r>
        <w:t xml:space="preserve">Table </w:t>
      </w:r>
      <w:r w:rsidR="00386DE9">
        <w:t>5</w:t>
      </w:r>
      <w:r w:rsidR="00D65D6F">
        <w:t xml:space="preserve">: </w:t>
      </w:r>
      <w:r w:rsidR="000C2275">
        <w:t xml:space="preserve">Ministerial </w:t>
      </w:r>
      <w:r>
        <w:t xml:space="preserve">Directions </w:t>
      </w:r>
      <w:r w:rsidR="000C2275">
        <w:t>Compliance Table</w:t>
      </w:r>
      <w:bookmarkEnd w:id="30"/>
    </w:p>
    <w:tbl>
      <w:tblPr>
        <w:tblStyle w:val="TableGrid"/>
        <w:tblW w:w="0" w:type="auto"/>
        <w:tblBorders>
          <w:top w:val="single" w:sz="4" w:space="0" w:color="AEA285" w:themeColor="background1" w:themeShade="BF"/>
          <w:left w:val="single" w:sz="4" w:space="0" w:color="AEA285" w:themeColor="background1" w:themeShade="BF"/>
          <w:bottom w:val="single" w:sz="4" w:space="0" w:color="AEA285" w:themeColor="background1" w:themeShade="BF"/>
          <w:right w:val="single" w:sz="4" w:space="0" w:color="AEA285" w:themeColor="background1" w:themeShade="BF"/>
          <w:insideH w:val="single" w:sz="4" w:space="0" w:color="AEA285" w:themeColor="background1" w:themeShade="BF"/>
          <w:insideV w:val="single" w:sz="4" w:space="0" w:color="AEA285" w:themeColor="background1" w:themeShade="BF"/>
        </w:tblBorders>
        <w:tblLayout w:type="fixed"/>
        <w:tblLook w:val="04A0" w:firstRow="1" w:lastRow="0" w:firstColumn="1" w:lastColumn="0" w:noHBand="0" w:noVBand="1"/>
      </w:tblPr>
      <w:tblGrid>
        <w:gridCol w:w="1555"/>
        <w:gridCol w:w="1417"/>
        <w:gridCol w:w="5954"/>
      </w:tblGrid>
      <w:tr w:rsidR="00386DE9" w:rsidRPr="00851E9E" w14:paraId="6C21F8F2" w14:textId="77777777" w:rsidTr="00386DE9">
        <w:tc>
          <w:tcPr>
            <w:tcW w:w="8926" w:type="dxa"/>
            <w:gridSpan w:val="3"/>
            <w:shd w:val="clear" w:color="auto" w:fill="7030A0"/>
            <w:tcMar>
              <w:top w:w="57" w:type="dxa"/>
              <w:bottom w:w="57" w:type="dxa"/>
            </w:tcMar>
          </w:tcPr>
          <w:p w14:paraId="7A716AFA" w14:textId="28987C3B" w:rsidR="00386DE9" w:rsidRPr="00C4701D" w:rsidRDefault="00386DE9" w:rsidP="00386DE9">
            <w:pPr>
              <w:pStyle w:val="Body-Black"/>
              <w:tabs>
                <w:tab w:val="left" w:pos="2250"/>
              </w:tabs>
              <w:jc w:val="left"/>
              <w:rPr>
                <w:b/>
              </w:rPr>
            </w:pPr>
            <w:r w:rsidRPr="00386DE9">
              <w:rPr>
                <w:b/>
                <w:shd w:val="clear" w:color="auto" w:fill="7030A0"/>
              </w:rPr>
              <w:t>Table 5: Ministerial Directions Compliance</w:t>
            </w:r>
          </w:p>
        </w:tc>
      </w:tr>
      <w:tr w:rsidR="000F301A" w:rsidRPr="00851E9E" w14:paraId="1821319B" w14:textId="77777777" w:rsidTr="00386DE9">
        <w:tc>
          <w:tcPr>
            <w:tcW w:w="1555" w:type="dxa"/>
            <w:shd w:val="clear" w:color="auto" w:fill="9B73CA" w:themeFill="text1" w:themeFillTint="99"/>
            <w:tcMar>
              <w:top w:w="57" w:type="dxa"/>
              <w:bottom w:w="57" w:type="dxa"/>
            </w:tcMar>
          </w:tcPr>
          <w:p w14:paraId="3914D6F0" w14:textId="736E37D7" w:rsidR="000F301A" w:rsidRDefault="000F301A" w:rsidP="00BC3ED1">
            <w:pPr>
              <w:pStyle w:val="Body-Black"/>
              <w:jc w:val="left"/>
            </w:pPr>
            <w:r>
              <w:rPr>
                <w:b/>
              </w:rPr>
              <w:t>Ministerial Direction</w:t>
            </w:r>
          </w:p>
        </w:tc>
        <w:tc>
          <w:tcPr>
            <w:tcW w:w="1417" w:type="dxa"/>
            <w:shd w:val="clear" w:color="auto" w:fill="9B73CA" w:themeFill="text1" w:themeFillTint="99"/>
          </w:tcPr>
          <w:p w14:paraId="205B3392" w14:textId="056E93A2" w:rsidR="000F301A" w:rsidRPr="00C4701D" w:rsidRDefault="000F301A" w:rsidP="004A0ADB">
            <w:pPr>
              <w:pStyle w:val="Body-Black"/>
              <w:rPr>
                <w:b/>
              </w:rPr>
            </w:pPr>
            <w:r>
              <w:rPr>
                <w:b/>
              </w:rPr>
              <w:t>Consistency</w:t>
            </w:r>
          </w:p>
        </w:tc>
        <w:tc>
          <w:tcPr>
            <w:tcW w:w="5954" w:type="dxa"/>
            <w:shd w:val="clear" w:color="auto" w:fill="9B73CA" w:themeFill="text1" w:themeFillTint="99"/>
            <w:tcMar>
              <w:top w:w="57" w:type="dxa"/>
              <w:bottom w:w="57" w:type="dxa"/>
            </w:tcMar>
          </w:tcPr>
          <w:p w14:paraId="6F868ECD" w14:textId="06590681" w:rsidR="000F301A" w:rsidRDefault="000F301A" w:rsidP="004A0ADB">
            <w:pPr>
              <w:pStyle w:val="Body-Black"/>
              <w:rPr>
                <w:szCs w:val="20"/>
                <w:lang w:val="en-US"/>
              </w:rPr>
            </w:pPr>
            <w:r w:rsidRPr="00C4701D">
              <w:rPr>
                <w:b/>
              </w:rPr>
              <w:t>Justification</w:t>
            </w:r>
          </w:p>
        </w:tc>
      </w:tr>
      <w:tr w:rsidR="000F301A" w:rsidRPr="00851E9E" w14:paraId="6922A3C5" w14:textId="77777777" w:rsidTr="00386DE9">
        <w:tc>
          <w:tcPr>
            <w:tcW w:w="8926" w:type="dxa"/>
            <w:gridSpan w:val="3"/>
            <w:shd w:val="clear" w:color="auto" w:fill="9B73CA" w:themeFill="text1" w:themeFillTint="99"/>
          </w:tcPr>
          <w:p w14:paraId="6FE2C168" w14:textId="1E16ABCD" w:rsidR="000F301A" w:rsidRPr="00B8155E" w:rsidRDefault="000F301A" w:rsidP="00BC3ED1">
            <w:pPr>
              <w:pStyle w:val="Body-Black"/>
              <w:jc w:val="left"/>
              <w:rPr>
                <w:szCs w:val="20"/>
                <w:lang w:val="en-US"/>
              </w:rPr>
            </w:pPr>
            <w:r w:rsidRPr="00392996">
              <w:rPr>
                <w:b/>
                <w:szCs w:val="20"/>
              </w:rPr>
              <w:t>1. Employment and Resources</w:t>
            </w:r>
          </w:p>
        </w:tc>
      </w:tr>
      <w:tr w:rsidR="000F301A" w:rsidRPr="00851E9E" w14:paraId="75FB4AC7" w14:textId="77777777" w:rsidTr="00386DE9">
        <w:tc>
          <w:tcPr>
            <w:tcW w:w="1555" w:type="dxa"/>
            <w:shd w:val="clear" w:color="auto" w:fill="DDD0ED" w:themeFill="text1" w:themeFillTint="33"/>
            <w:tcMar>
              <w:top w:w="57" w:type="dxa"/>
              <w:bottom w:w="57" w:type="dxa"/>
            </w:tcMar>
          </w:tcPr>
          <w:p w14:paraId="7D8053AE" w14:textId="50F78503" w:rsidR="000F301A" w:rsidRDefault="000F301A" w:rsidP="00BC3ED1">
            <w:pPr>
              <w:pStyle w:val="Body-Black"/>
              <w:jc w:val="left"/>
            </w:pPr>
            <w:r>
              <w:lastRenderedPageBreak/>
              <w:t>1.1 Business and Industrial Zones</w:t>
            </w:r>
          </w:p>
        </w:tc>
        <w:tc>
          <w:tcPr>
            <w:tcW w:w="1417" w:type="dxa"/>
            <w:shd w:val="clear" w:color="auto" w:fill="DDD0ED" w:themeFill="text1" w:themeFillTint="33"/>
          </w:tcPr>
          <w:p w14:paraId="2513229F" w14:textId="659498A0" w:rsidR="000F301A" w:rsidRDefault="000F301A" w:rsidP="000F301A">
            <w:pPr>
              <w:pStyle w:val="Body-Black"/>
            </w:pPr>
            <w:r>
              <w:t>Justifiably inconsistent</w:t>
            </w:r>
          </w:p>
        </w:tc>
        <w:tc>
          <w:tcPr>
            <w:tcW w:w="5954" w:type="dxa"/>
            <w:shd w:val="clear" w:color="auto" w:fill="DDD0ED" w:themeFill="text1" w:themeFillTint="33"/>
            <w:tcMar>
              <w:top w:w="57" w:type="dxa"/>
              <w:bottom w:w="57" w:type="dxa"/>
            </w:tcMar>
          </w:tcPr>
          <w:p w14:paraId="1ED5088E" w14:textId="686C7D63" w:rsidR="000F301A" w:rsidRDefault="000F301A" w:rsidP="000F301A">
            <w:pPr>
              <w:pStyle w:val="Body-Black"/>
            </w:pPr>
            <w:r>
              <w:t xml:space="preserve">The proposal seeks to rezone land from IN2 Light Industrial to B4 Mixed Use and B6 Enterprise Corridor. </w:t>
            </w:r>
          </w:p>
          <w:p w14:paraId="35423F16" w14:textId="77777777" w:rsidR="005B12E4" w:rsidRDefault="005B12E4" w:rsidP="005B12E4">
            <w:pPr>
              <w:pStyle w:val="Body-Black"/>
            </w:pPr>
            <w:r>
              <w:t>Direction 1.1 provides objectives to encourage employment growth in suitable locations, protect employment land in business and industrial zones.</w:t>
            </w:r>
          </w:p>
          <w:p w14:paraId="497AF0EE" w14:textId="77777777" w:rsidR="005B12E4" w:rsidRDefault="005B12E4" w:rsidP="005B12E4">
            <w:pPr>
              <w:pStyle w:val="Body-Black"/>
            </w:pPr>
            <w:r>
              <w:t xml:space="preserve">A planning proposal may be inconsistent with this direction if the relevant authority can satisfy that the provisions of the planning proposal are: </w:t>
            </w:r>
          </w:p>
          <w:p w14:paraId="0C79AE4F" w14:textId="77777777" w:rsidR="005B12E4" w:rsidRDefault="005B12E4" w:rsidP="005B12E4">
            <w:pPr>
              <w:pStyle w:val="Body-Black"/>
            </w:pPr>
            <w:r>
              <w:t>(a)</w:t>
            </w:r>
            <w:r>
              <w:tab/>
              <w:t>Justified by a strategy which:</w:t>
            </w:r>
          </w:p>
          <w:p w14:paraId="3320C9FE" w14:textId="3C323DC2" w:rsidR="005B12E4" w:rsidRDefault="00347BCC" w:rsidP="00347BCC">
            <w:pPr>
              <w:pStyle w:val="Body-Black"/>
              <w:ind w:left="720"/>
            </w:pPr>
            <w:r>
              <w:t>i</w:t>
            </w:r>
            <w:r w:rsidR="005B12E4">
              <w:t>.</w:t>
            </w:r>
            <w:r w:rsidR="005B12E4">
              <w:tab/>
              <w:t>Gives consideration to the objective of this direction,</w:t>
            </w:r>
          </w:p>
          <w:p w14:paraId="0BF1DF15" w14:textId="7EE127D9" w:rsidR="005B12E4" w:rsidRDefault="00347BCC" w:rsidP="00347BCC">
            <w:pPr>
              <w:pStyle w:val="Body-Black"/>
              <w:ind w:left="720"/>
            </w:pPr>
            <w:r>
              <w:t>ii</w:t>
            </w:r>
            <w:r w:rsidR="005B12E4">
              <w:t>.</w:t>
            </w:r>
            <w:r w:rsidR="005B12E4">
              <w:tab/>
              <w:t>Identifies the land which is the subject of the planning proposal, and</w:t>
            </w:r>
          </w:p>
          <w:p w14:paraId="5907D8E2" w14:textId="4382786C" w:rsidR="005B12E4" w:rsidRDefault="00347BCC" w:rsidP="00347BCC">
            <w:pPr>
              <w:pStyle w:val="Body-Black"/>
              <w:ind w:left="720"/>
            </w:pPr>
            <w:r>
              <w:t>iii</w:t>
            </w:r>
            <w:r w:rsidR="005B12E4">
              <w:t>.</w:t>
            </w:r>
            <w:r w:rsidR="005B12E4">
              <w:tab/>
              <w:t xml:space="preserve">Is approved by the Secretary of the Department of Planning and Environment, or  </w:t>
            </w:r>
          </w:p>
          <w:p w14:paraId="1D182F0B" w14:textId="77777777" w:rsidR="005B12E4" w:rsidRDefault="005B12E4" w:rsidP="005B12E4">
            <w:pPr>
              <w:pStyle w:val="Body-Black"/>
            </w:pPr>
            <w:r>
              <w:t>(b)</w:t>
            </w:r>
            <w:r>
              <w:tab/>
              <w:t xml:space="preserve">Justified by a study (prepared in support of the planning proposal) which gives consideration to the objective of this direction, or </w:t>
            </w:r>
          </w:p>
          <w:p w14:paraId="43D183C6" w14:textId="77777777" w:rsidR="005B12E4" w:rsidRDefault="005B12E4" w:rsidP="005B12E4">
            <w:pPr>
              <w:pStyle w:val="Body-Black"/>
            </w:pPr>
            <w:r>
              <w:t>(c)</w:t>
            </w:r>
            <w:r>
              <w:tab/>
              <w:t xml:space="preserve">In accordance with the relevant Regional Strategy, Regional Plan or Sub-Regional Strategy prepared by the Department of Planning and Environment which gives consideration to the objective of this direction, or </w:t>
            </w:r>
          </w:p>
          <w:p w14:paraId="57B92768" w14:textId="77777777" w:rsidR="005B12E4" w:rsidRDefault="005B12E4" w:rsidP="005B12E4">
            <w:pPr>
              <w:pStyle w:val="Body-Black"/>
            </w:pPr>
            <w:r>
              <w:t>(d)</w:t>
            </w:r>
            <w:r>
              <w:tab/>
              <w:t xml:space="preserve">Of minor significance. </w:t>
            </w:r>
          </w:p>
          <w:p w14:paraId="5B735106" w14:textId="77777777" w:rsidR="005B12E4" w:rsidRDefault="005B12E4" w:rsidP="005B12E4">
            <w:pPr>
              <w:pStyle w:val="Body-Black"/>
            </w:pPr>
            <w:r>
              <w:t xml:space="preserve">The Planning Proposal is justified by a strategy which meets the criteria of I, ii and iii of Direction 1.1. </w:t>
            </w:r>
          </w:p>
          <w:p w14:paraId="71F83050" w14:textId="77777777" w:rsidR="005B12E4" w:rsidRDefault="005B12E4" w:rsidP="005B12E4">
            <w:pPr>
              <w:pStyle w:val="Body-Black"/>
            </w:pPr>
            <w:r>
              <w:t>The site forms part of the Liverpool Collaboration Area Place Strategy, which is identified and endorsed within a suite of planning policy documents including the Region Plan and District Plan.</w:t>
            </w:r>
          </w:p>
          <w:p w14:paraId="596264CC" w14:textId="77777777" w:rsidR="005B12E4" w:rsidRDefault="005B12E4" w:rsidP="005B12E4">
            <w:pPr>
              <w:pStyle w:val="Body-Black"/>
            </w:pPr>
            <w:r>
              <w:t xml:space="preserve">The Place Strategy identifies the site within the Georges River North Precinct, which is nominated as ‘mixed use’. This area is identified to provide a mixture of commercial, retail, residential and community uses that provide sustainable employment that is not in competition with the commercial core. </w:t>
            </w:r>
          </w:p>
          <w:p w14:paraId="2EC1CA24" w14:textId="77777777" w:rsidR="005B12E4" w:rsidRDefault="005B12E4" w:rsidP="005B12E4">
            <w:pPr>
              <w:pStyle w:val="Body-Black"/>
            </w:pPr>
            <w:r>
              <w:t xml:space="preserve">The transition of the site to mixed use is advanced and reinforced in the LSPS, which identifies the site for further investigation into a residential/mixed-use precinct, with supporting actions to rezone the land as a short-term priority. </w:t>
            </w:r>
          </w:p>
          <w:p w14:paraId="68FC2BDA" w14:textId="77777777" w:rsidR="005B12E4" w:rsidRDefault="005B12E4" w:rsidP="005B12E4">
            <w:pPr>
              <w:pStyle w:val="Body-Black"/>
            </w:pPr>
            <w:r>
              <w:t xml:space="preserve">The Planning Proposal further proposes a B6 Enterprise Corridor zone along Newbridge Road. This area has the potential to provide 47,570m2 of employment space, providing an opportunity for urban services and other typically low impact industrial land occupiers on the site. Importantly, the Planning Proposal results </w:t>
            </w:r>
            <w:r>
              <w:lastRenderedPageBreak/>
              <w:t>in an intensification of job activity adjacent to Liverpool CBD that can only be realised through alternative land uses.</w:t>
            </w:r>
          </w:p>
          <w:p w14:paraId="2D2B30C6" w14:textId="742F6A7B" w:rsidR="005B12E4" w:rsidRDefault="005B12E4" w:rsidP="005B12E4">
            <w:pPr>
              <w:pStyle w:val="Body-Black"/>
            </w:pPr>
            <w:r>
              <w:t>Any temporary loss of urban services during construction has the potential to be relocated back into the site or in close proximity upon completion, reducing any long</w:t>
            </w:r>
            <w:r w:rsidR="00347BCC">
              <w:t>-</w:t>
            </w:r>
            <w:r>
              <w:t xml:space="preserve">term impact. </w:t>
            </w:r>
          </w:p>
          <w:p w14:paraId="3F172535" w14:textId="6CFAE8F4" w:rsidR="000F301A" w:rsidRPr="00161B28" w:rsidRDefault="005B12E4" w:rsidP="005B12E4">
            <w:pPr>
              <w:pStyle w:val="Body-Black"/>
            </w:pPr>
            <w:r>
              <w:t>It is important to note the delivery of the masterplan is a long-term process and any relocation of urban services land could be undertaken in a staged approach to minimise large scale relocation of urban services at any point in time.</w:t>
            </w:r>
          </w:p>
        </w:tc>
      </w:tr>
      <w:tr w:rsidR="006769F3" w:rsidRPr="00851E9E" w14:paraId="05642027" w14:textId="77777777" w:rsidTr="00386DE9">
        <w:tc>
          <w:tcPr>
            <w:tcW w:w="8926" w:type="dxa"/>
            <w:gridSpan w:val="3"/>
            <w:shd w:val="clear" w:color="auto" w:fill="9B73CA" w:themeFill="text1" w:themeFillTint="99"/>
          </w:tcPr>
          <w:p w14:paraId="7BE46E30" w14:textId="2A1BF9E3" w:rsidR="006769F3" w:rsidRPr="004A0ADB" w:rsidRDefault="006769F3" w:rsidP="00BC3ED1">
            <w:pPr>
              <w:pStyle w:val="Body-Black"/>
              <w:jc w:val="left"/>
              <w:rPr>
                <w:b/>
                <w:szCs w:val="20"/>
                <w:lang w:val="en-US"/>
              </w:rPr>
            </w:pPr>
            <w:r w:rsidRPr="004A0ADB">
              <w:rPr>
                <w:b/>
                <w:szCs w:val="20"/>
                <w:lang w:val="en-US"/>
              </w:rPr>
              <w:lastRenderedPageBreak/>
              <w:t>2. Environment and Heritage</w:t>
            </w:r>
          </w:p>
        </w:tc>
      </w:tr>
      <w:tr w:rsidR="000F301A" w:rsidRPr="00851E9E" w14:paraId="660996A2" w14:textId="77777777" w:rsidTr="00386DE9">
        <w:tc>
          <w:tcPr>
            <w:tcW w:w="1555" w:type="dxa"/>
            <w:shd w:val="clear" w:color="auto" w:fill="DDD0ED" w:themeFill="text1" w:themeFillTint="33"/>
            <w:tcMar>
              <w:top w:w="57" w:type="dxa"/>
              <w:bottom w:w="57" w:type="dxa"/>
            </w:tcMar>
          </w:tcPr>
          <w:p w14:paraId="36994372" w14:textId="3FB172A7" w:rsidR="000F301A" w:rsidRPr="00D6610C" w:rsidRDefault="000F301A" w:rsidP="00BC3ED1">
            <w:pPr>
              <w:pStyle w:val="Body-Black"/>
              <w:jc w:val="left"/>
              <w:rPr>
                <w:szCs w:val="20"/>
              </w:rPr>
            </w:pPr>
            <w:r>
              <w:rPr>
                <w:szCs w:val="20"/>
              </w:rPr>
              <w:t>2.1 Environment Protection Zones</w:t>
            </w:r>
          </w:p>
        </w:tc>
        <w:tc>
          <w:tcPr>
            <w:tcW w:w="1417" w:type="dxa"/>
            <w:shd w:val="clear" w:color="auto" w:fill="DDD0ED" w:themeFill="text1" w:themeFillTint="33"/>
          </w:tcPr>
          <w:p w14:paraId="7966D064" w14:textId="69D45A33" w:rsidR="000F301A" w:rsidRPr="00593CB0" w:rsidRDefault="006769F3" w:rsidP="00593CB0">
            <w:pPr>
              <w:pStyle w:val="Body-Black"/>
              <w:rPr>
                <w:szCs w:val="20"/>
                <w:lang w:val="en-US"/>
              </w:rPr>
            </w:pPr>
            <w:r>
              <w:rPr>
                <w:szCs w:val="20"/>
                <w:lang w:val="en-US"/>
              </w:rPr>
              <w:t>Consistent</w:t>
            </w:r>
          </w:p>
        </w:tc>
        <w:tc>
          <w:tcPr>
            <w:tcW w:w="5954" w:type="dxa"/>
            <w:shd w:val="clear" w:color="auto" w:fill="DDD0ED" w:themeFill="text1" w:themeFillTint="33"/>
            <w:tcMar>
              <w:top w:w="57" w:type="dxa"/>
              <w:bottom w:w="57" w:type="dxa"/>
            </w:tcMar>
          </w:tcPr>
          <w:p w14:paraId="7CEC36FE" w14:textId="03053249" w:rsidR="000F301A" w:rsidRPr="00593CB0" w:rsidRDefault="000F301A" w:rsidP="00593CB0">
            <w:pPr>
              <w:pStyle w:val="Body-Black"/>
              <w:rPr>
                <w:szCs w:val="20"/>
                <w:lang w:val="en-US"/>
              </w:rPr>
            </w:pPr>
            <w:r w:rsidRPr="00593CB0">
              <w:rPr>
                <w:szCs w:val="20"/>
                <w:lang w:val="en-US"/>
              </w:rPr>
              <w:t xml:space="preserve">The site is identified as being adjacent to Environmentally Significant Land in accordance with LLEP 2008. This relates to land located on the north and western boundary of the site and generally follows the alignment of the Georges River foreshore. </w:t>
            </w:r>
          </w:p>
          <w:p w14:paraId="0D06AE1B" w14:textId="77777777" w:rsidR="000F301A" w:rsidRPr="00593CB0" w:rsidRDefault="000F301A" w:rsidP="00593CB0">
            <w:pPr>
              <w:pStyle w:val="Body-Black"/>
              <w:rPr>
                <w:szCs w:val="20"/>
                <w:lang w:val="en-US"/>
              </w:rPr>
            </w:pPr>
            <w:r w:rsidRPr="00593CB0">
              <w:rPr>
                <w:szCs w:val="20"/>
                <w:lang w:val="en-US"/>
              </w:rPr>
              <w:t xml:space="preserve">The Planning Proposal does not propose amendments to the existing provision and area relating to Environmentally Sensitive Land contained in LLEP 2008. </w:t>
            </w:r>
          </w:p>
          <w:p w14:paraId="30BD3792" w14:textId="5451F0CA" w:rsidR="000F301A" w:rsidRDefault="000F301A" w:rsidP="00593CB0">
            <w:pPr>
              <w:pStyle w:val="Body-Black"/>
              <w:rPr>
                <w:szCs w:val="20"/>
                <w:lang w:val="en-US"/>
              </w:rPr>
            </w:pPr>
            <w:r w:rsidRPr="00593CB0">
              <w:rPr>
                <w:szCs w:val="20"/>
                <w:lang w:val="en-US"/>
              </w:rPr>
              <w:t>The Planning Proposal considers the known environmental constraints around the foreshore and envisages future development be situated behind the foreshore building line in accordance with LLEP 2008.</w:t>
            </w:r>
          </w:p>
        </w:tc>
      </w:tr>
      <w:tr w:rsidR="000F301A" w:rsidRPr="00851E9E" w14:paraId="6F7E0A9C" w14:textId="77777777" w:rsidTr="00386DE9">
        <w:tc>
          <w:tcPr>
            <w:tcW w:w="1555" w:type="dxa"/>
            <w:shd w:val="clear" w:color="auto" w:fill="DDD0ED" w:themeFill="text1" w:themeFillTint="33"/>
            <w:tcMar>
              <w:top w:w="57" w:type="dxa"/>
              <w:bottom w:w="57" w:type="dxa"/>
            </w:tcMar>
          </w:tcPr>
          <w:p w14:paraId="4C7233A5" w14:textId="343983F9" w:rsidR="000F301A" w:rsidRDefault="000F301A" w:rsidP="00BC3ED1">
            <w:pPr>
              <w:pStyle w:val="Body-Black"/>
              <w:jc w:val="left"/>
              <w:rPr>
                <w:szCs w:val="20"/>
              </w:rPr>
            </w:pPr>
            <w:r w:rsidRPr="00D6610C">
              <w:rPr>
                <w:szCs w:val="20"/>
              </w:rPr>
              <w:t>2.2 Coa</w:t>
            </w:r>
            <w:r>
              <w:rPr>
                <w:szCs w:val="20"/>
              </w:rPr>
              <w:t xml:space="preserve">stal Protection </w:t>
            </w:r>
          </w:p>
        </w:tc>
        <w:tc>
          <w:tcPr>
            <w:tcW w:w="1417" w:type="dxa"/>
            <w:shd w:val="clear" w:color="auto" w:fill="DDD0ED" w:themeFill="text1" w:themeFillTint="33"/>
          </w:tcPr>
          <w:p w14:paraId="425946E3" w14:textId="360D3075" w:rsidR="000F301A" w:rsidRPr="0058470F" w:rsidRDefault="000F178B" w:rsidP="0058470F">
            <w:pPr>
              <w:pStyle w:val="Body-Black"/>
              <w:rPr>
                <w:szCs w:val="20"/>
                <w:lang w:val="en-US"/>
              </w:rPr>
            </w:pPr>
            <w:r>
              <w:rPr>
                <w:szCs w:val="20"/>
                <w:lang w:val="en-US"/>
              </w:rPr>
              <w:t>Justifiably Inc</w:t>
            </w:r>
            <w:r w:rsidR="006769F3">
              <w:rPr>
                <w:szCs w:val="20"/>
                <w:lang w:val="en-US"/>
              </w:rPr>
              <w:t>onsistent</w:t>
            </w:r>
          </w:p>
        </w:tc>
        <w:tc>
          <w:tcPr>
            <w:tcW w:w="5954" w:type="dxa"/>
            <w:shd w:val="clear" w:color="auto" w:fill="DDD0ED" w:themeFill="text1" w:themeFillTint="33"/>
            <w:tcMar>
              <w:top w:w="57" w:type="dxa"/>
              <w:bottom w:w="57" w:type="dxa"/>
            </w:tcMar>
          </w:tcPr>
          <w:p w14:paraId="00636B24" w14:textId="1527134E" w:rsidR="001B241E" w:rsidRDefault="00E050F5" w:rsidP="00DB3B52">
            <w:pPr>
              <w:pStyle w:val="Body-Black"/>
              <w:rPr>
                <w:szCs w:val="20"/>
                <w:lang w:val="en-US"/>
              </w:rPr>
            </w:pPr>
            <w:r w:rsidRPr="00E050F5">
              <w:rPr>
                <w:szCs w:val="20"/>
                <w:lang w:val="en-US"/>
              </w:rPr>
              <w:t xml:space="preserve">The site contains land identified as Coastal Environment Area, Coastal Use Area, Coastal Wetlands Proximity Area and Coastal Wetlands, as identified in the SEPP (Coastal Management). </w:t>
            </w:r>
            <w:r w:rsidR="008C57D3">
              <w:rPr>
                <w:szCs w:val="20"/>
                <w:lang w:val="en-US"/>
              </w:rPr>
              <w:t>Most</w:t>
            </w:r>
            <w:r w:rsidRPr="00E050F5">
              <w:rPr>
                <w:szCs w:val="20"/>
                <w:lang w:val="en-US"/>
              </w:rPr>
              <w:t xml:space="preserve"> of this land is earmarked for public recreation, which will provide a better outcome than the currently IN2 zoned land. However, the Urban Design Study envisages a public domain around Lake Moore that</w:t>
            </w:r>
            <w:r w:rsidR="00811342">
              <w:rPr>
                <w:szCs w:val="20"/>
                <w:lang w:val="en-US"/>
              </w:rPr>
              <w:t xml:space="preserve"> </w:t>
            </w:r>
            <w:r w:rsidR="00811342" w:rsidRPr="00811342">
              <w:rPr>
                <w:szCs w:val="20"/>
                <w:lang w:val="en-US"/>
              </w:rPr>
              <w:t xml:space="preserve">may be inconsistent with the Coastal Management Plan objective to “protect and improve the extent and condition of estuarine and riparian vegetation”. Therefore, the Planning Proposal may be inconsistent with part (4) of the Direction. </w:t>
            </w:r>
          </w:p>
          <w:p w14:paraId="12DC163C" w14:textId="77777777" w:rsidR="00AB79CE" w:rsidRDefault="00811342" w:rsidP="00DB3B52">
            <w:pPr>
              <w:pStyle w:val="Body-Black"/>
              <w:rPr>
                <w:szCs w:val="20"/>
                <w:lang w:val="en-US"/>
              </w:rPr>
            </w:pPr>
            <w:r w:rsidRPr="00811342">
              <w:rPr>
                <w:szCs w:val="20"/>
                <w:lang w:val="en-US"/>
              </w:rPr>
              <w:t xml:space="preserve">It is anticipated that future Development Applications (DAs) for the site will be required to address clause 13 and clause 14 of SEPP (Coastal Management) 2018. </w:t>
            </w:r>
          </w:p>
          <w:p w14:paraId="5434250B" w14:textId="6D9982BD" w:rsidR="000F301A" w:rsidRDefault="00811342" w:rsidP="00DB3B52">
            <w:pPr>
              <w:pStyle w:val="Body-Black"/>
              <w:rPr>
                <w:szCs w:val="20"/>
                <w:lang w:val="en-US"/>
              </w:rPr>
            </w:pPr>
            <w:r w:rsidRPr="00811342">
              <w:rPr>
                <w:szCs w:val="20"/>
                <w:lang w:val="en-US"/>
              </w:rPr>
              <w:t>The Planning Proposal, including the provision of open space along the foreshore, can thus allow for outcomes that can provide a significant environmental improvement for the site, the Georges River and Lake Moore consistent with the objectives of SEPP (Coastal Management) 2018 and the Direction, and thus satisfy part (4) of the Direction.</w:t>
            </w:r>
          </w:p>
        </w:tc>
      </w:tr>
      <w:tr w:rsidR="000F301A" w:rsidRPr="00851E9E" w14:paraId="5EBDA545" w14:textId="77777777" w:rsidTr="00386DE9">
        <w:tc>
          <w:tcPr>
            <w:tcW w:w="1555" w:type="dxa"/>
            <w:shd w:val="clear" w:color="auto" w:fill="DDD0ED" w:themeFill="text1" w:themeFillTint="33"/>
            <w:tcMar>
              <w:top w:w="57" w:type="dxa"/>
              <w:bottom w:w="57" w:type="dxa"/>
            </w:tcMar>
          </w:tcPr>
          <w:p w14:paraId="5169E6ED" w14:textId="760F18A6" w:rsidR="000F301A" w:rsidRDefault="000F301A" w:rsidP="00BC3ED1">
            <w:pPr>
              <w:pStyle w:val="Body-Black"/>
              <w:jc w:val="left"/>
              <w:rPr>
                <w:szCs w:val="20"/>
              </w:rPr>
            </w:pPr>
            <w:r w:rsidRPr="00D6610C">
              <w:rPr>
                <w:szCs w:val="20"/>
              </w:rPr>
              <w:t>2.3 Heritage Conservation</w:t>
            </w:r>
          </w:p>
        </w:tc>
        <w:tc>
          <w:tcPr>
            <w:tcW w:w="1417" w:type="dxa"/>
            <w:shd w:val="clear" w:color="auto" w:fill="DDD0ED" w:themeFill="text1" w:themeFillTint="33"/>
          </w:tcPr>
          <w:p w14:paraId="61A9B3EC" w14:textId="18BE0B82" w:rsidR="00EF7BEF" w:rsidRPr="00EF7BEF" w:rsidRDefault="00EF7BEF" w:rsidP="00386818">
            <w:r>
              <w:t>Consistent</w:t>
            </w:r>
          </w:p>
        </w:tc>
        <w:tc>
          <w:tcPr>
            <w:tcW w:w="5954" w:type="dxa"/>
            <w:shd w:val="clear" w:color="auto" w:fill="DDD0ED" w:themeFill="text1" w:themeFillTint="33"/>
            <w:tcMar>
              <w:top w:w="57" w:type="dxa"/>
              <w:bottom w:w="57" w:type="dxa"/>
            </w:tcMar>
          </w:tcPr>
          <w:p w14:paraId="083741AE" w14:textId="77777777" w:rsidR="00EF7BEF" w:rsidRDefault="00976100" w:rsidP="00EF7BEF">
            <w:pPr>
              <w:pStyle w:val="Body-Black"/>
            </w:pPr>
            <w:r>
              <w:t>An Aboriginal Heritage Assessment has been undertaken, which confirms the study area possesses</w:t>
            </w:r>
            <w:r w:rsidR="00EF7BEF">
              <w:t xml:space="preserve"> low archaeological potential and no further assessment is necessary. </w:t>
            </w:r>
          </w:p>
          <w:p w14:paraId="66CCED6F" w14:textId="4ADF687B" w:rsidR="000F301A" w:rsidRDefault="00EF7BEF" w:rsidP="00EF7BEF">
            <w:pPr>
              <w:pStyle w:val="Body-Black"/>
              <w:rPr>
                <w:szCs w:val="20"/>
                <w:lang w:val="en-US"/>
              </w:rPr>
            </w:pPr>
            <w:r>
              <w:lastRenderedPageBreak/>
              <w:t>A further Historical Heritage Assessment has been submitted, which provide recommendations for the management of the Pirelli Power Cables Heritage item.</w:t>
            </w:r>
          </w:p>
        </w:tc>
      </w:tr>
      <w:tr w:rsidR="000F301A" w:rsidRPr="00851E9E" w14:paraId="0A760F32" w14:textId="77777777" w:rsidTr="00386DE9">
        <w:tc>
          <w:tcPr>
            <w:tcW w:w="1555" w:type="dxa"/>
            <w:shd w:val="clear" w:color="auto" w:fill="DDD0ED" w:themeFill="text1" w:themeFillTint="33"/>
            <w:tcMar>
              <w:top w:w="57" w:type="dxa"/>
              <w:bottom w:w="57" w:type="dxa"/>
            </w:tcMar>
          </w:tcPr>
          <w:p w14:paraId="31324716" w14:textId="0EFE470C" w:rsidR="000F301A" w:rsidRPr="00D6610C" w:rsidRDefault="000F301A" w:rsidP="00BC3ED1">
            <w:pPr>
              <w:pStyle w:val="Body-Black"/>
              <w:jc w:val="left"/>
              <w:rPr>
                <w:szCs w:val="20"/>
              </w:rPr>
            </w:pPr>
            <w:r>
              <w:rPr>
                <w:szCs w:val="20"/>
              </w:rPr>
              <w:lastRenderedPageBreak/>
              <w:t>2.6 Remediation of Contaminated Land</w:t>
            </w:r>
          </w:p>
        </w:tc>
        <w:tc>
          <w:tcPr>
            <w:tcW w:w="1417" w:type="dxa"/>
            <w:shd w:val="clear" w:color="auto" w:fill="DDD0ED" w:themeFill="text1" w:themeFillTint="33"/>
          </w:tcPr>
          <w:p w14:paraId="550000D9" w14:textId="7ED7EA55" w:rsidR="000F301A" w:rsidRDefault="00386818" w:rsidP="00812E9C">
            <w:pPr>
              <w:pStyle w:val="Body-Black"/>
              <w:rPr>
                <w:szCs w:val="20"/>
                <w:lang w:val="en-US"/>
              </w:rPr>
            </w:pPr>
            <w:r>
              <w:rPr>
                <w:szCs w:val="20"/>
                <w:lang w:val="en-US"/>
              </w:rPr>
              <w:t>Consistent</w:t>
            </w:r>
          </w:p>
        </w:tc>
        <w:tc>
          <w:tcPr>
            <w:tcW w:w="5954" w:type="dxa"/>
            <w:shd w:val="clear" w:color="auto" w:fill="DDD0ED" w:themeFill="text1" w:themeFillTint="33"/>
            <w:tcMar>
              <w:top w:w="57" w:type="dxa"/>
              <w:bottom w:w="57" w:type="dxa"/>
            </w:tcMar>
          </w:tcPr>
          <w:p w14:paraId="70DDDD0C" w14:textId="3483A17A" w:rsidR="000F301A" w:rsidRPr="00812E9C" w:rsidRDefault="00386818" w:rsidP="00812E9C">
            <w:pPr>
              <w:pStyle w:val="Body-Black"/>
              <w:rPr>
                <w:szCs w:val="20"/>
                <w:lang w:val="en-US"/>
              </w:rPr>
            </w:pPr>
            <w:r>
              <w:rPr>
                <w:szCs w:val="20"/>
                <w:lang w:val="en-US"/>
              </w:rPr>
              <w:t>Part</w:t>
            </w:r>
            <w:r w:rsidR="000F301A">
              <w:rPr>
                <w:szCs w:val="20"/>
                <w:lang w:val="en-US"/>
              </w:rPr>
              <w:t xml:space="preserve"> 1 and </w:t>
            </w:r>
            <w:r>
              <w:rPr>
                <w:szCs w:val="20"/>
                <w:lang w:val="en-US"/>
              </w:rPr>
              <w:t>Part</w:t>
            </w:r>
            <w:r w:rsidR="000F301A">
              <w:rPr>
                <w:szCs w:val="20"/>
                <w:lang w:val="en-US"/>
              </w:rPr>
              <w:t xml:space="preserve"> 2 contamination assessments have been conducted and conclude that the site is able to be made suitable for mixed-use development.</w:t>
            </w:r>
            <w:r>
              <w:rPr>
                <w:szCs w:val="20"/>
                <w:lang w:val="en-US"/>
              </w:rPr>
              <w:t xml:space="preserve"> Further refinement of these studies will be conducted post-Gateway.</w:t>
            </w:r>
          </w:p>
        </w:tc>
      </w:tr>
      <w:tr w:rsidR="00E06E0A" w:rsidRPr="00851E9E" w14:paraId="794E958F" w14:textId="77777777" w:rsidTr="00386DE9">
        <w:tc>
          <w:tcPr>
            <w:tcW w:w="8926" w:type="dxa"/>
            <w:gridSpan w:val="3"/>
            <w:shd w:val="clear" w:color="auto" w:fill="9B73CA" w:themeFill="text1" w:themeFillTint="99"/>
          </w:tcPr>
          <w:p w14:paraId="7EEA305E" w14:textId="34B023D5" w:rsidR="00E06E0A" w:rsidRPr="00812E9C" w:rsidRDefault="00E06E0A" w:rsidP="00BC3ED1">
            <w:pPr>
              <w:pStyle w:val="Body-Black"/>
              <w:jc w:val="left"/>
              <w:rPr>
                <w:b/>
                <w:szCs w:val="20"/>
                <w:lang w:val="en-US"/>
              </w:rPr>
            </w:pPr>
            <w:r>
              <w:rPr>
                <w:b/>
                <w:szCs w:val="20"/>
                <w:lang w:val="en-US"/>
              </w:rPr>
              <w:t>3. Housing, Infrastructure and Urban Development</w:t>
            </w:r>
          </w:p>
        </w:tc>
      </w:tr>
      <w:tr w:rsidR="000F301A" w:rsidRPr="00851E9E" w14:paraId="7A8F3B16" w14:textId="77777777" w:rsidTr="00386DE9">
        <w:tc>
          <w:tcPr>
            <w:tcW w:w="1555" w:type="dxa"/>
            <w:shd w:val="clear" w:color="auto" w:fill="DDD0ED" w:themeFill="text1" w:themeFillTint="33"/>
            <w:tcMar>
              <w:top w:w="57" w:type="dxa"/>
              <w:bottom w:w="57" w:type="dxa"/>
            </w:tcMar>
          </w:tcPr>
          <w:p w14:paraId="7BED782B" w14:textId="418EE22E" w:rsidR="000F301A" w:rsidRPr="00D6610C" w:rsidRDefault="000F301A" w:rsidP="00AD0E89">
            <w:pPr>
              <w:pStyle w:val="Body-Black"/>
              <w:jc w:val="left"/>
              <w:rPr>
                <w:szCs w:val="20"/>
              </w:rPr>
            </w:pPr>
            <w:r>
              <w:rPr>
                <w:szCs w:val="20"/>
              </w:rPr>
              <w:t>3.1 Residential Zones</w:t>
            </w:r>
          </w:p>
        </w:tc>
        <w:tc>
          <w:tcPr>
            <w:tcW w:w="1417" w:type="dxa"/>
            <w:shd w:val="clear" w:color="auto" w:fill="DDD0ED" w:themeFill="text1" w:themeFillTint="33"/>
          </w:tcPr>
          <w:p w14:paraId="61FF803D" w14:textId="4263BC26" w:rsidR="000F301A" w:rsidRDefault="00E06E0A" w:rsidP="00E06E0A">
            <w:pPr>
              <w:pStyle w:val="TableParagraph"/>
              <w:spacing w:before="121" w:line="288" w:lineRule="auto"/>
              <w:ind w:left="0" w:right="151"/>
              <w:rPr>
                <w:sz w:val="20"/>
              </w:rPr>
            </w:pPr>
            <w:r>
              <w:rPr>
                <w:sz w:val="20"/>
              </w:rPr>
              <w:t>Consistent</w:t>
            </w:r>
          </w:p>
        </w:tc>
        <w:tc>
          <w:tcPr>
            <w:tcW w:w="5954" w:type="dxa"/>
            <w:shd w:val="clear" w:color="auto" w:fill="DDD0ED" w:themeFill="text1" w:themeFillTint="33"/>
            <w:tcMar>
              <w:top w:w="57" w:type="dxa"/>
              <w:bottom w:w="57" w:type="dxa"/>
            </w:tcMar>
          </w:tcPr>
          <w:p w14:paraId="1D72ABB6" w14:textId="77777777" w:rsidR="00E06E0A" w:rsidRDefault="00E06E0A" w:rsidP="00E06E0A">
            <w:pPr>
              <w:pStyle w:val="TableParagraph"/>
              <w:spacing w:before="121" w:line="288" w:lineRule="auto"/>
              <w:ind w:right="151"/>
              <w:rPr>
                <w:sz w:val="20"/>
              </w:rPr>
            </w:pPr>
            <w:r w:rsidRPr="00E06E0A">
              <w:rPr>
                <w:sz w:val="20"/>
              </w:rPr>
              <w:t xml:space="preserve">The proposal will facilitate residential accommodation in close proximity to existing infrastructure and services. </w:t>
            </w:r>
          </w:p>
          <w:p w14:paraId="60280686" w14:textId="56267C12" w:rsidR="000F301A" w:rsidRPr="00AD0E89" w:rsidRDefault="00E06E0A" w:rsidP="00E06E0A">
            <w:pPr>
              <w:pStyle w:val="TableParagraph"/>
              <w:spacing w:before="121" w:line="288" w:lineRule="auto"/>
              <w:ind w:right="151"/>
              <w:rPr>
                <w:sz w:val="20"/>
              </w:rPr>
            </w:pPr>
            <w:r w:rsidRPr="00E06E0A">
              <w:rPr>
                <w:sz w:val="20"/>
              </w:rPr>
              <w:t>Residential accommodation is proposed within the bounds of existing urban areas and is not proposed to encroach into any environmental protection or sensitive areas.</w:t>
            </w:r>
          </w:p>
        </w:tc>
      </w:tr>
      <w:tr w:rsidR="000F301A" w:rsidRPr="00851E9E" w14:paraId="2C3D74A9" w14:textId="77777777" w:rsidTr="00386DE9">
        <w:tc>
          <w:tcPr>
            <w:tcW w:w="1555" w:type="dxa"/>
            <w:shd w:val="clear" w:color="auto" w:fill="DDD0ED" w:themeFill="text1" w:themeFillTint="33"/>
            <w:tcMar>
              <w:top w:w="57" w:type="dxa"/>
              <w:bottom w:w="57" w:type="dxa"/>
            </w:tcMar>
          </w:tcPr>
          <w:p w14:paraId="609F784B" w14:textId="40F6AD67" w:rsidR="000F301A" w:rsidRPr="00D6610C" w:rsidRDefault="000F301A" w:rsidP="00AD0E89">
            <w:pPr>
              <w:pStyle w:val="Body-Black"/>
              <w:jc w:val="left"/>
              <w:rPr>
                <w:szCs w:val="20"/>
              </w:rPr>
            </w:pPr>
            <w:r w:rsidRPr="008B0F62">
              <w:rPr>
                <w:szCs w:val="20"/>
              </w:rPr>
              <w:t xml:space="preserve">3.4 Integrating Land Use and Transport </w:t>
            </w:r>
          </w:p>
        </w:tc>
        <w:tc>
          <w:tcPr>
            <w:tcW w:w="1417" w:type="dxa"/>
            <w:shd w:val="clear" w:color="auto" w:fill="DDD0ED" w:themeFill="text1" w:themeFillTint="33"/>
          </w:tcPr>
          <w:p w14:paraId="175CB5FD" w14:textId="3243D41E" w:rsidR="000F301A" w:rsidRPr="002760FF" w:rsidRDefault="00E06E0A" w:rsidP="002760FF">
            <w:pPr>
              <w:pStyle w:val="Body-Black"/>
              <w:rPr>
                <w:szCs w:val="20"/>
              </w:rPr>
            </w:pPr>
            <w:r>
              <w:rPr>
                <w:szCs w:val="20"/>
              </w:rPr>
              <w:t>Consistent</w:t>
            </w:r>
          </w:p>
        </w:tc>
        <w:tc>
          <w:tcPr>
            <w:tcW w:w="5954" w:type="dxa"/>
            <w:shd w:val="clear" w:color="auto" w:fill="DDD0ED" w:themeFill="text1" w:themeFillTint="33"/>
            <w:tcMar>
              <w:top w:w="57" w:type="dxa"/>
              <w:bottom w:w="57" w:type="dxa"/>
            </w:tcMar>
          </w:tcPr>
          <w:p w14:paraId="7EB36FD9" w14:textId="77777777" w:rsidR="00740A97" w:rsidRDefault="00740A97" w:rsidP="00740A97">
            <w:pPr>
              <w:pStyle w:val="Body-Black"/>
              <w:rPr>
                <w:szCs w:val="20"/>
              </w:rPr>
            </w:pPr>
            <w:r w:rsidRPr="00740A97">
              <w:rPr>
                <w:szCs w:val="20"/>
              </w:rPr>
              <w:t xml:space="preserve">The proposal will improve access to housing, jobs and services by walking, cycling and public transport infrastructure. </w:t>
            </w:r>
          </w:p>
          <w:p w14:paraId="60D6D1DA" w14:textId="6FD5F8B7" w:rsidR="000F301A" w:rsidRPr="002760FF" w:rsidRDefault="00740A97" w:rsidP="00740A97">
            <w:pPr>
              <w:pStyle w:val="Body-Black"/>
              <w:rPr>
                <w:szCs w:val="20"/>
              </w:rPr>
            </w:pPr>
            <w:r w:rsidRPr="00740A97">
              <w:rPr>
                <w:szCs w:val="20"/>
              </w:rPr>
              <w:t>The proposal aims to provide a range of active transport connections to reduce travel demand including the number of trips generated by the development and the distances travelled, in particular by car.</w:t>
            </w:r>
          </w:p>
        </w:tc>
      </w:tr>
      <w:tr w:rsidR="000F301A" w:rsidRPr="00851E9E" w14:paraId="23164910" w14:textId="77777777" w:rsidTr="00386DE9">
        <w:tc>
          <w:tcPr>
            <w:tcW w:w="1555" w:type="dxa"/>
            <w:shd w:val="clear" w:color="auto" w:fill="DDD0ED" w:themeFill="text1" w:themeFillTint="33"/>
            <w:tcMar>
              <w:top w:w="57" w:type="dxa"/>
              <w:bottom w:w="57" w:type="dxa"/>
            </w:tcMar>
          </w:tcPr>
          <w:p w14:paraId="115174E0" w14:textId="7E3701C3" w:rsidR="000F301A" w:rsidRPr="00D6610C" w:rsidRDefault="000F301A" w:rsidP="00AD0E89">
            <w:pPr>
              <w:pStyle w:val="Body-Black"/>
              <w:jc w:val="left"/>
              <w:rPr>
                <w:szCs w:val="20"/>
              </w:rPr>
            </w:pPr>
            <w:r w:rsidRPr="008B0F62">
              <w:rPr>
                <w:szCs w:val="20"/>
              </w:rPr>
              <w:t>3.5 Developm</w:t>
            </w:r>
            <w:r>
              <w:rPr>
                <w:szCs w:val="20"/>
              </w:rPr>
              <w:t>ent Near Licensed Aerodromes</w:t>
            </w:r>
          </w:p>
        </w:tc>
        <w:tc>
          <w:tcPr>
            <w:tcW w:w="1417" w:type="dxa"/>
            <w:shd w:val="clear" w:color="auto" w:fill="DDD0ED" w:themeFill="text1" w:themeFillTint="33"/>
          </w:tcPr>
          <w:p w14:paraId="71D0ED3A" w14:textId="54BA1D56" w:rsidR="000F301A" w:rsidRPr="00911C2B" w:rsidRDefault="00603445" w:rsidP="00AD0E89">
            <w:pPr>
              <w:pStyle w:val="Body-Black"/>
              <w:rPr>
                <w:szCs w:val="20"/>
                <w:lang w:val="en-US"/>
              </w:rPr>
            </w:pPr>
            <w:r>
              <w:rPr>
                <w:szCs w:val="20"/>
                <w:lang w:val="en-US"/>
              </w:rPr>
              <w:t>Consistent</w:t>
            </w:r>
          </w:p>
        </w:tc>
        <w:tc>
          <w:tcPr>
            <w:tcW w:w="5954" w:type="dxa"/>
            <w:shd w:val="clear" w:color="auto" w:fill="DDD0ED" w:themeFill="text1" w:themeFillTint="33"/>
            <w:tcMar>
              <w:top w:w="57" w:type="dxa"/>
              <w:bottom w:w="57" w:type="dxa"/>
            </w:tcMar>
          </w:tcPr>
          <w:p w14:paraId="7D6F8286" w14:textId="7AFDA12B" w:rsidR="00C54688" w:rsidRPr="00C54688" w:rsidRDefault="00603445" w:rsidP="00C54688">
            <w:pPr>
              <w:pStyle w:val="Body-Black"/>
              <w:rPr>
                <w:szCs w:val="20"/>
                <w:lang w:val="en-US"/>
              </w:rPr>
            </w:pPr>
            <w:r w:rsidRPr="00603445">
              <w:rPr>
                <w:szCs w:val="20"/>
                <w:lang w:val="en-US"/>
              </w:rPr>
              <w:t>The proposal has been designed in consideration of its proximity to Bankstown Airport, including the known PANS-OPS and OLS requirements. The proposal seeks to amend LLEP 2008 by introducing new heights of 136 RL and 108 RL across the site in line with the</w:t>
            </w:r>
            <w:r>
              <w:rPr>
                <w:szCs w:val="20"/>
                <w:lang w:val="en-US"/>
              </w:rPr>
              <w:t xml:space="preserve"> </w:t>
            </w:r>
            <w:r w:rsidR="00C54688" w:rsidRPr="00C54688">
              <w:rPr>
                <w:szCs w:val="20"/>
                <w:lang w:val="en-US"/>
              </w:rPr>
              <w:t xml:space="preserve">The proposal has been designed in consideration of its proximity to Bankstown Airport, including the known PANS-OPS and OLS requirements. The proposal seeks to amend LLEP 2008 by introducing new heights of 136 RL and 108 RL across the site in line with the PANS-OPS </w:t>
            </w:r>
            <w:r w:rsidR="00C54688">
              <w:rPr>
                <w:szCs w:val="20"/>
                <w:lang w:val="en-US"/>
              </w:rPr>
              <w:t>limit</w:t>
            </w:r>
            <w:r w:rsidR="00C54688" w:rsidRPr="00C54688">
              <w:rPr>
                <w:szCs w:val="20"/>
                <w:lang w:val="en-US"/>
              </w:rPr>
              <w:t xml:space="preserve">. </w:t>
            </w:r>
          </w:p>
          <w:p w14:paraId="7CFD78F5" w14:textId="39EF4152" w:rsidR="000F301A" w:rsidRPr="00812E9C" w:rsidRDefault="00C54688" w:rsidP="00C54688">
            <w:pPr>
              <w:pStyle w:val="Body-Black"/>
              <w:rPr>
                <w:szCs w:val="20"/>
                <w:lang w:val="en-US"/>
              </w:rPr>
            </w:pPr>
            <w:r w:rsidRPr="00C54688">
              <w:rPr>
                <w:szCs w:val="20"/>
                <w:lang w:val="en-US"/>
              </w:rPr>
              <w:t>An RL is considered the preferred height measurement to respond to the varied topography across the site where a height measured from natural ground level would result in irregular and stepped building forms at the detailed Development Application stage.</w:t>
            </w:r>
          </w:p>
        </w:tc>
      </w:tr>
      <w:tr w:rsidR="00C54688" w:rsidRPr="00851E9E" w14:paraId="5C20CA70" w14:textId="77777777" w:rsidTr="00386DE9">
        <w:tc>
          <w:tcPr>
            <w:tcW w:w="8926" w:type="dxa"/>
            <w:gridSpan w:val="3"/>
            <w:shd w:val="clear" w:color="auto" w:fill="9B73CA" w:themeFill="text1" w:themeFillTint="99"/>
          </w:tcPr>
          <w:p w14:paraId="4709C03D" w14:textId="3454ED7A" w:rsidR="00C54688" w:rsidRPr="00E24D96" w:rsidRDefault="00C54688" w:rsidP="00AD0E89">
            <w:pPr>
              <w:pStyle w:val="Body-Black"/>
              <w:jc w:val="left"/>
              <w:rPr>
                <w:b/>
                <w:szCs w:val="20"/>
                <w:lang w:val="en-US"/>
              </w:rPr>
            </w:pPr>
            <w:r w:rsidRPr="00E24D96">
              <w:rPr>
                <w:b/>
                <w:szCs w:val="20"/>
                <w:lang w:val="en-US"/>
              </w:rPr>
              <w:t>4. Hazard and Risk</w:t>
            </w:r>
          </w:p>
        </w:tc>
      </w:tr>
      <w:tr w:rsidR="000F301A" w:rsidRPr="00851E9E" w14:paraId="37C9A784" w14:textId="77777777" w:rsidTr="00386DE9">
        <w:tc>
          <w:tcPr>
            <w:tcW w:w="1555" w:type="dxa"/>
            <w:shd w:val="clear" w:color="auto" w:fill="DDD0ED" w:themeFill="text1" w:themeFillTint="33"/>
            <w:tcMar>
              <w:top w:w="57" w:type="dxa"/>
              <w:bottom w:w="57" w:type="dxa"/>
            </w:tcMar>
          </w:tcPr>
          <w:p w14:paraId="74BCF355" w14:textId="3FCF57C1" w:rsidR="000F301A" w:rsidRPr="00D6610C" w:rsidRDefault="000F301A" w:rsidP="00AD0E89">
            <w:pPr>
              <w:pStyle w:val="Body-Black"/>
              <w:jc w:val="left"/>
              <w:rPr>
                <w:szCs w:val="20"/>
              </w:rPr>
            </w:pPr>
            <w:r w:rsidRPr="00E24D96">
              <w:rPr>
                <w:szCs w:val="20"/>
              </w:rPr>
              <w:t>4.1 Acid Sul</w:t>
            </w:r>
            <w:r>
              <w:rPr>
                <w:szCs w:val="20"/>
              </w:rPr>
              <w:t>f</w:t>
            </w:r>
            <w:r w:rsidRPr="00E24D96">
              <w:rPr>
                <w:szCs w:val="20"/>
              </w:rPr>
              <w:t xml:space="preserve">ate Soils </w:t>
            </w:r>
          </w:p>
        </w:tc>
        <w:tc>
          <w:tcPr>
            <w:tcW w:w="1417" w:type="dxa"/>
            <w:shd w:val="clear" w:color="auto" w:fill="DDD0ED" w:themeFill="text1" w:themeFillTint="33"/>
          </w:tcPr>
          <w:p w14:paraId="16BFD123" w14:textId="56A9FFC0" w:rsidR="000F301A" w:rsidRDefault="00C54688" w:rsidP="00AD0E89">
            <w:pPr>
              <w:pStyle w:val="Body-Black"/>
              <w:rPr>
                <w:szCs w:val="20"/>
              </w:rPr>
            </w:pPr>
            <w:r>
              <w:rPr>
                <w:szCs w:val="20"/>
              </w:rPr>
              <w:t>Consistent</w:t>
            </w:r>
          </w:p>
        </w:tc>
        <w:tc>
          <w:tcPr>
            <w:tcW w:w="5954" w:type="dxa"/>
            <w:shd w:val="clear" w:color="auto" w:fill="DDD0ED" w:themeFill="text1" w:themeFillTint="33"/>
            <w:tcMar>
              <w:top w:w="57" w:type="dxa"/>
              <w:bottom w:w="57" w:type="dxa"/>
            </w:tcMar>
          </w:tcPr>
          <w:p w14:paraId="26D0CD4B" w14:textId="77777777" w:rsidR="00223933" w:rsidRPr="00223933" w:rsidRDefault="00223933" w:rsidP="00223933">
            <w:pPr>
              <w:pStyle w:val="Body-Black"/>
              <w:rPr>
                <w:szCs w:val="20"/>
              </w:rPr>
            </w:pPr>
            <w:r w:rsidRPr="00223933">
              <w:rPr>
                <w:szCs w:val="20"/>
              </w:rPr>
              <w:t>LLEP 2008 contains provisions relating to acid sulfate soils. The proposal does not seek to contravene or alter these controls.</w:t>
            </w:r>
          </w:p>
          <w:p w14:paraId="336073C3" w14:textId="77777777" w:rsidR="00223933" w:rsidRPr="00223933" w:rsidRDefault="00223933" w:rsidP="00223933">
            <w:pPr>
              <w:pStyle w:val="Body-Black"/>
              <w:rPr>
                <w:szCs w:val="20"/>
              </w:rPr>
            </w:pPr>
            <w:r w:rsidRPr="00223933">
              <w:rPr>
                <w:szCs w:val="20"/>
              </w:rPr>
              <w:t>The proposal is accompanied by an Acid Sulfate Soils and Remedial Strategy, which advises a range of remedial options may be implemented to remediate the site for its intended purpose.</w:t>
            </w:r>
          </w:p>
          <w:p w14:paraId="0FCFF3D3" w14:textId="1645DE8D" w:rsidR="000F301A" w:rsidRPr="00812E9C" w:rsidRDefault="00223933" w:rsidP="00223933">
            <w:pPr>
              <w:pStyle w:val="Body-Black"/>
              <w:rPr>
                <w:szCs w:val="20"/>
                <w:lang w:val="en-US"/>
              </w:rPr>
            </w:pPr>
            <w:r w:rsidRPr="00223933">
              <w:rPr>
                <w:szCs w:val="20"/>
              </w:rPr>
              <w:t xml:space="preserve">It is anticipated future Development Applications will provide a Remedial Action Plan to provide guidance on addressing </w:t>
            </w:r>
            <w:r w:rsidRPr="00223933">
              <w:rPr>
                <w:szCs w:val="20"/>
              </w:rPr>
              <w:lastRenderedPageBreak/>
              <w:t xml:space="preserve">unexpected contamination that may be identified during the course of redevelopment.  </w:t>
            </w:r>
          </w:p>
        </w:tc>
      </w:tr>
      <w:tr w:rsidR="000F301A" w:rsidRPr="00851E9E" w14:paraId="03C82D8E" w14:textId="77777777" w:rsidTr="00386DE9">
        <w:tc>
          <w:tcPr>
            <w:tcW w:w="1555" w:type="dxa"/>
            <w:shd w:val="clear" w:color="auto" w:fill="DDD0ED" w:themeFill="text1" w:themeFillTint="33"/>
            <w:tcMar>
              <w:top w:w="57" w:type="dxa"/>
              <w:bottom w:w="57" w:type="dxa"/>
            </w:tcMar>
          </w:tcPr>
          <w:p w14:paraId="1E2D435D" w14:textId="6ECBD8AA" w:rsidR="000F301A" w:rsidRPr="00D6610C" w:rsidRDefault="000F301A" w:rsidP="00AD0E89">
            <w:pPr>
              <w:pStyle w:val="Body-Black"/>
              <w:jc w:val="left"/>
              <w:rPr>
                <w:szCs w:val="20"/>
              </w:rPr>
            </w:pPr>
            <w:r w:rsidRPr="00E24D96">
              <w:rPr>
                <w:szCs w:val="20"/>
              </w:rPr>
              <w:lastRenderedPageBreak/>
              <w:t xml:space="preserve">4.3 Flood Prone Lane </w:t>
            </w:r>
          </w:p>
        </w:tc>
        <w:tc>
          <w:tcPr>
            <w:tcW w:w="1417" w:type="dxa"/>
            <w:shd w:val="clear" w:color="auto" w:fill="DDD0ED" w:themeFill="text1" w:themeFillTint="33"/>
          </w:tcPr>
          <w:p w14:paraId="63E9E40A" w14:textId="63D2D7C3" w:rsidR="000F301A" w:rsidRDefault="0015295D" w:rsidP="00AD0E89">
            <w:pPr>
              <w:pStyle w:val="Body-Black"/>
              <w:rPr>
                <w:szCs w:val="20"/>
                <w:lang w:val="en-US"/>
              </w:rPr>
            </w:pPr>
            <w:r>
              <w:rPr>
                <w:szCs w:val="20"/>
                <w:lang w:val="en-US"/>
              </w:rPr>
              <w:t>Justifiably inconsistent</w:t>
            </w:r>
          </w:p>
        </w:tc>
        <w:tc>
          <w:tcPr>
            <w:tcW w:w="5954" w:type="dxa"/>
            <w:shd w:val="clear" w:color="auto" w:fill="DDD0ED" w:themeFill="text1" w:themeFillTint="33"/>
            <w:tcMar>
              <w:top w:w="57" w:type="dxa"/>
              <w:bottom w:w="57" w:type="dxa"/>
            </w:tcMar>
          </w:tcPr>
          <w:p w14:paraId="21C501E8" w14:textId="77777777" w:rsidR="00177D0E" w:rsidRDefault="00177D0E" w:rsidP="00AD0E89">
            <w:pPr>
              <w:pStyle w:val="Body-Black"/>
              <w:rPr>
                <w:szCs w:val="20"/>
              </w:rPr>
            </w:pPr>
            <w:r w:rsidRPr="00177D0E">
              <w:rPr>
                <w:szCs w:val="20"/>
              </w:rPr>
              <w:t xml:space="preserve">A Flood Report has been prepared by J. Wyndham Prince under separate cover in support of the Planning Proposal request. The site is partially inundated by mainstream flooding in a 1% AEP event, where flows breach the banks of the Georges River and enter the site. However, the assessment has shown that with the implementation of mitigation measures, the proposed development may be consistent with the principles outlined in the Floodplain Development Manual. </w:t>
            </w:r>
          </w:p>
          <w:p w14:paraId="6ADBBD36" w14:textId="2FC3E8F5" w:rsidR="00177D0E" w:rsidRDefault="00177D0E" w:rsidP="00AD0E89">
            <w:pPr>
              <w:pStyle w:val="Body-Black"/>
              <w:rPr>
                <w:szCs w:val="20"/>
              </w:rPr>
            </w:pPr>
            <w:r w:rsidRPr="00177D0E">
              <w:rPr>
                <w:szCs w:val="20"/>
              </w:rPr>
              <w:t>Council has requested the following additional information be provided post</w:t>
            </w:r>
            <w:r w:rsidR="008816A7">
              <w:rPr>
                <w:szCs w:val="20"/>
              </w:rPr>
              <w:t>-G</w:t>
            </w:r>
            <w:r w:rsidRPr="00177D0E">
              <w:rPr>
                <w:szCs w:val="20"/>
              </w:rPr>
              <w:t xml:space="preserve">ateway and before exhibition of the proposal: </w:t>
            </w:r>
          </w:p>
          <w:p w14:paraId="6ACDD13F" w14:textId="77777777" w:rsidR="00177D0E" w:rsidRDefault="00177D0E" w:rsidP="00177D0E">
            <w:pPr>
              <w:pStyle w:val="Body-Black"/>
              <w:numPr>
                <w:ilvl w:val="0"/>
                <w:numId w:val="5"/>
              </w:numPr>
              <w:rPr>
                <w:szCs w:val="20"/>
              </w:rPr>
            </w:pPr>
            <w:r w:rsidRPr="00177D0E">
              <w:rPr>
                <w:szCs w:val="20"/>
              </w:rPr>
              <w:t xml:space="preserve">A detailed hydraulic analysis to assess the effectiveness of the proposed flood mitigation option </w:t>
            </w:r>
          </w:p>
          <w:p w14:paraId="5B1E1331" w14:textId="77777777" w:rsidR="00177D0E" w:rsidRDefault="00177D0E" w:rsidP="00177D0E">
            <w:pPr>
              <w:pStyle w:val="Body-Black"/>
              <w:numPr>
                <w:ilvl w:val="0"/>
                <w:numId w:val="5"/>
              </w:numPr>
              <w:rPr>
                <w:szCs w:val="20"/>
              </w:rPr>
            </w:pPr>
            <w:r w:rsidRPr="00177D0E">
              <w:rPr>
                <w:szCs w:val="20"/>
              </w:rPr>
              <w:t xml:space="preserve">Provide flood impact assessment for all design flood events including the 1% AEP and PMF. Appropriate flood mitigation measures shall be incorporated including provision of compensatory flood storage and to demonstrate that there will be no adverse impacts on flood levels and flow velocity in the river and on the adjoining properties </w:t>
            </w:r>
          </w:p>
          <w:p w14:paraId="732E6B22" w14:textId="77777777" w:rsidR="00177D0E" w:rsidRDefault="00177D0E" w:rsidP="00177D0E">
            <w:pPr>
              <w:pStyle w:val="Body-Black"/>
              <w:numPr>
                <w:ilvl w:val="0"/>
                <w:numId w:val="5"/>
              </w:numPr>
              <w:rPr>
                <w:szCs w:val="20"/>
              </w:rPr>
            </w:pPr>
            <w:r w:rsidRPr="00177D0E">
              <w:rPr>
                <w:szCs w:val="20"/>
              </w:rPr>
              <w:t xml:space="preserve">Provide further detail on how the proposed flood mitigation option in Helles Park will ensure enhanced and effective recreation uses, in addition to effective flood mitigation </w:t>
            </w:r>
          </w:p>
          <w:p w14:paraId="497E0D11" w14:textId="58D15ECB" w:rsidR="000F301A" w:rsidRPr="00812E9C" w:rsidRDefault="00177D0E" w:rsidP="00177D0E">
            <w:pPr>
              <w:pStyle w:val="Body-Black"/>
              <w:numPr>
                <w:ilvl w:val="0"/>
                <w:numId w:val="5"/>
              </w:numPr>
              <w:rPr>
                <w:szCs w:val="20"/>
                <w:lang w:val="en-US"/>
              </w:rPr>
            </w:pPr>
            <w:r w:rsidRPr="00177D0E">
              <w:rPr>
                <w:szCs w:val="20"/>
              </w:rPr>
              <w:t>Submit a revised flood evacuation strategy with plans including levels to demonstrate that a continuous rising grade is achieved to a level</w:t>
            </w:r>
            <w:r w:rsidRPr="00177D0E">
              <w:rPr>
                <w:szCs w:val="20"/>
                <w:lang w:val="en-US"/>
              </w:rPr>
              <w:t xml:space="preserve"> above the PMF</w:t>
            </w:r>
          </w:p>
        </w:tc>
      </w:tr>
      <w:tr w:rsidR="000F301A" w:rsidRPr="00851E9E" w14:paraId="4A9E4F8F" w14:textId="77777777" w:rsidTr="00386DE9">
        <w:tc>
          <w:tcPr>
            <w:tcW w:w="1555" w:type="dxa"/>
            <w:shd w:val="clear" w:color="auto" w:fill="DDD0ED" w:themeFill="text1" w:themeFillTint="33"/>
            <w:tcMar>
              <w:top w:w="57" w:type="dxa"/>
              <w:bottom w:w="57" w:type="dxa"/>
            </w:tcMar>
          </w:tcPr>
          <w:p w14:paraId="0171BE05" w14:textId="4474F58E" w:rsidR="000F301A" w:rsidRPr="00D6610C" w:rsidRDefault="000F301A" w:rsidP="00AD0E89">
            <w:pPr>
              <w:pStyle w:val="Body-Black"/>
              <w:jc w:val="left"/>
              <w:rPr>
                <w:szCs w:val="20"/>
              </w:rPr>
            </w:pPr>
            <w:r w:rsidRPr="00E24D96">
              <w:rPr>
                <w:szCs w:val="20"/>
              </w:rPr>
              <w:t>4.4 Planni</w:t>
            </w:r>
            <w:r>
              <w:rPr>
                <w:szCs w:val="20"/>
              </w:rPr>
              <w:t>ng for Bushfire Protection</w:t>
            </w:r>
          </w:p>
        </w:tc>
        <w:tc>
          <w:tcPr>
            <w:tcW w:w="1417" w:type="dxa"/>
            <w:shd w:val="clear" w:color="auto" w:fill="DDD0ED" w:themeFill="text1" w:themeFillTint="33"/>
          </w:tcPr>
          <w:p w14:paraId="2517050D" w14:textId="41A725C2" w:rsidR="000F301A" w:rsidRPr="00E24D96" w:rsidRDefault="00CB1674" w:rsidP="00AD0E89">
            <w:pPr>
              <w:pStyle w:val="Body-Black"/>
              <w:rPr>
                <w:szCs w:val="20"/>
              </w:rPr>
            </w:pPr>
            <w:r>
              <w:rPr>
                <w:szCs w:val="20"/>
              </w:rPr>
              <w:t>Consistent</w:t>
            </w:r>
          </w:p>
        </w:tc>
        <w:tc>
          <w:tcPr>
            <w:tcW w:w="5954" w:type="dxa"/>
            <w:shd w:val="clear" w:color="auto" w:fill="DDD0ED" w:themeFill="text1" w:themeFillTint="33"/>
            <w:tcMar>
              <w:top w:w="57" w:type="dxa"/>
              <w:bottom w:w="57" w:type="dxa"/>
            </w:tcMar>
          </w:tcPr>
          <w:p w14:paraId="4CCFE5B4" w14:textId="77777777" w:rsidR="00CB1674" w:rsidRPr="00CB1674" w:rsidRDefault="00CB1674" w:rsidP="00CB1674">
            <w:pPr>
              <w:pStyle w:val="Body-Black"/>
              <w:rPr>
                <w:szCs w:val="20"/>
              </w:rPr>
            </w:pPr>
            <w:r w:rsidRPr="00CB1674">
              <w:rPr>
                <w:szCs w:val="20"/>
              </w:rPr>
              <w:t xml:space="preserve">Part of the site, largely east of Bridge Road, is identified as containing Bushfire Risk land in Category 1 and Buffer zones. </w:t>
            </w:r>
          </w:p>
          <w:p w14:paraId="0393728D" w14:textId="2D9AE57F" w:rsidR="000F301A" w:rsidRPr="00812E9C" w:rsidRDefault="00CB1674" w:rsidP="00CB1674">
            <w:pPr>
              <w:pStyle w:val="Body-Black"/>
              <w:rPr>
                <w:szCs w:val="20"/>
                <w:lang w:val="en-US"/>
              </w:rPr>
            </w:pPr>
            <w:r w:rsidRPr="00CB1674">
              <w:rPr>
                <w:szCs w:val="20"/>
              </w:rPr>
              <w:t>The proposal has been prepared with regard to the bush fire constraints on the site and is</w:t>
            </w:r>
            <w:r w:rsidR="00FB7684">
              <w:rPr>
                <w:szCs w:val="20"/>
              </w:rPr>
              <w:t xml:space="preserve"> </w:t>
            </w:r>
            <w:r w:rsidR="00FB7684">
              <w:t xml:space="preserve">capable of incorporating a number of </w:t>
            </w:r>
            <w:r w:rsidR="00FB7684" w:rsidRPr="000B12DC">
              <w:t>strategies to guide future development</w:t>
            </w:r>
            <w:r w:rsidR="00FB7684">
              <w:t>.</w:t>
            </w:r>
          </w:p>
        </w:tc>
      </w:tr>
      <w:tr w:rsidR="00FB7684" w:rsidRPr="00851E9E" w14:paraId="2C84115C" w14:textId="77777777" w:rsidTr="00386DE9">
        <w:tc>
          <w:tcPr>
            <w:tcW w:w="8926" w:type="dxa"/>
            <w:gridSpan w:val="3"/>
            <w:shd w:val="clear" w:color="auto" w:fill="9B73CA" w:themeFill="text1" w:themeFillTint="99"/>
          </w:tcPr>
          <w:p w14:paraId="76802122" w14:textId="55F110E1" w:rsidR="00FB7684" w:rsidRPr="00280B10" w:rsidRDefault="00FB7684" w:rsidP="00AD0E89">
            <w:pPr>
              <w:pStyle w:val="Body-Black"/>
              <w:jc w:val="left"/>
              <w:rPr>
                <w:b/>
                <w:szCs w:val="20"/>
                <w:lang w:val="en-US"/>
              </w:rPr>
            </w:pPr>
            <w:r>
              <w:rPr>
                <w:b/>
                <w:szCs w:val="20"/>
                <w:lang w:val="en-US"/>
              </w:rPr>
              <w:t>5. Regional Planning</w:t>
            </w:r>
          </w:p>
        </w:tc>
      </w:tr>
      <w:tr w:rsidR="000F301A" w:rsidRPr="00851E9E" w14:paraId="624BD095" w14:textId="77777777" w:rsidTr="00386DE9">
        <w:tc>
          <w:tcPr>
            <w:tcW w:w="1555" w:type="dxa"/>
            <w:shd w:val="clear" w:color="auto" w:fill="DDD0ED" w:themeFill="text1" w:themeFillTint="33"/>
            <w:tcMar>
              <w:top w:w="57" w:type="dxa"/>
              <w:bottom w:w="57" w:type="dxa"/>
            </w:tcMar>
          </w:tcPr>
          <w:p w14:paraId="49552116" w14:textId="6F6714EE" w:rsidR="000F301A" w:rsidRPr="00D6610C" w:rsidRDefault="000F301A" w:rsidP="00AD0E89">
            <w:pPr>
              <w:pStyle w:val="Body-Black"/>
              <w:jc w:val="left"/>
              <w:rPr>
                <w:szCs w:val="20"/>
              </w:rPr>
            </w:pPr>
            <w:r w:rsidRPr="00280B10">
              <w:rPr>
                <w:szCs w:val="20"/>
              </w:rPr>
              <w:t xml:space="preserve">5.10 Implementation of Regional Plans </w:t>
            </w:r>
          </w:p>
        </w:tc>
        <w:tc>
          <w:tcPr>
            <w:tcW w:w="1417" w:type="dxa"/>
            <w:shd w:val="clear" w:color="auto" w:fill="DDD0ED" w:themeFill="text1" w:themeFillTint="33"/>
          </w:tcPr>
          <w:p w14:paraId="61EE09F8" w14:textId="7C9876C3" w:rsidR="000F301A" w:rsidRPr="00911C2B" w:rsidRDefault="00AC5261" w:rsidP="00AD0E89">
            <w:pPr>
              <w:pStyle w:val="Body-Black"/>
              <w:rPr>
                <w:szCs w:val="20"/>
              </w:rPr>
            </w:pPr>
            <w:r>
              <w:rPr>
                <w:szCs w:val="20"/>
              </w:rPr>
              <w:t>Consistent</w:t>
            </w:r>
          </w:p>
        </w:tc>
        <w:tc>
          <w:tcPr>
            <w:tcW w:w="5954" w:type="dxa"/>
            <w:shd w:val="clear" w:color="auto" w:fill="DDD0ED" w:themeFill="text1" w:themeFillTint="33"/>
            <w:tcMar>
              <w:top w:w="57" w:type="dxa"/>
              <w:bottom w:w="57" w:type="dxa"/>
            </w:tcMar>
          </w:tcPr>
          <w:p w14:paraId="61E32693" w14:textId="3BB32061" w:rsidR="000F301A" w:rsidRPr="00812E9C" w:rsidRDefault="000F301A" w:rsidP="00AD0E89">
            <w:pPr>
              <w:pStyle w:val="Body-Black"/>
              <w:rPr>
                <w:szCs w:val="20"/>
                <w:lang w:val="en-US"/>
              </w:rPr>
            </w:pPr>
            <w:r w:rsidRPr="00911C2B">
              <w:rPr>
                <w:szCs w:val="20"/>
              </w:rPr>
              <w:t xml:space="preserve">The </w:t>
            </w:r>
            <w:r>
              <w:t>planning proposal</w:t>
            </w:r>
            <w:r w:rsidRPr="00911C2B">
              <w:rPr>
                <w:szCs w:val="20"/>
              </w:rPr>
              <w:t xml:space="preserve"> is consistent with the Regional Plan – A Metropolis of Three Cities and has been specifically addressed in the </w:t>
            </w:r>
            <w:r>
              <w:t>planning proposal</w:t>
            </w:r>
            <w:r>
              <w:rPr>
                <w:szCs w:val="20"/>
              </w:rPr>
              <w:t>.</w:t>
            </w:r>
          </w:p>
        </w:tc>
      </w:tr>
      <w:tr w:rsidR="003E2B7E" w:rsidRPr="00851E9E" w14:paraId="260506C5" w14:textId="77777777" w:rsidTr="00386DE9">
        <w:tc>
          <w:tcPr>
            <w:tcW w:w="8926" w:type="dxa"/>
            <w:gridSpan w:val="3"/>
            <w:shd w:val="clear" w:color="auto" w:fill="9B73CA" w:themeFill="text1" w:themeFillTint="99"/>
          </w:tcPr>
          <w:p w14:paraId="2FF6B185" w14:textId="0D0BBEFA" w:rsidR="003E2B7E" w:rsidRPr="007F24BB" w:rsidRDefault="003E2B7E" w:rsidP="00AD0E89">
            <w:pPr>
              <w:pStyle w:val="Body-Black"/>
              <w:jc w:val="left"/>
              <w:rPr>
                <w:b/>
                <w:szCs w:val="20"/>
                <w:lang w:val="en-US"/>
              </w:rPr>
            </w:pPr>
            <w:r>
              <w:rPr>
                <w:b/>
                <w:szCs w:val="20"/>
                <w:lang w:val="en-US"/>
              </w:rPr>
              <w:t>6. Local Plan Making</w:t>
            </w:r>
          </w:p>
        </w:tc>
      </w:tr>
      <w:tr w:rsidR="000F301A" w:rsidRPr="00851E9E" w14:paraId="0817BD01" w14:textId="77777777" w:rsidTr="00386DE9">
        <w:tc>
          <w:tcPr>
            <w:tcW w:w="1555" w:type="dxa"/>
            <w:shd w:val="clear" w:color="auto" w:fill="DDD0ED" w:themeFill="text1" w:themeFillTint="33"/>
            <w:tcMar>
              <w:top w:w="57" w:type="dxa"/>
              <w:bottom w:w="57" w:type="dxa"/>
            </w:tcMar>
          </w:tcPr>
          <w:p w14:paraId="6389BE73" w14:textId="2B6D5562" w:rsidR="000F301A" w:rsidRPr="00D6610C" w:rsidRDefault="000F301A" w:rsidP="00AD0E89">
            <w:pPr>
              <w:pStyle w:val="Body-Black"/>
              <w:jc w:val="left"/>
              <w:rPr>
                <w:szCs w:val="20"/>
              </w:rPr>
            </w:pPr>
            <w:r w:rsidRPr="007F24BB">
              <w:rPr>
                <w:szCs w:val="20"/>
              </w:rPr>
              <w:t>6.1 Approval a</w:t>
            </w:r>
            <w:r>
              <w:rPr>
                <w:szCs w:val="20"/>
              </w:rPr>
              <w:t>nd Referral Requirements Noted.</w:t>
            </w:r>
          </w:p>
        </w:tc>
        <w:tc>
          <w:tcPr>
            <w:tcW w:w="1417" w:type="dxa"/>
            <w:shd w:val="clear" w:color="auto" w:fill="DDD0ED" w:themeFill="text1" w:themeFillTint="33"/>
          </w:tcPr>
          <w:p w14:paraId="7E87A240" w14:textId="690DD551" w:rsidR="000F301A" w:rsidRPr="00911C2B" w:rsidRDefault="00AC5261" w:rsidP="00AD0E89">
            <w:pPr>
              <w:pStyle w:val="Body-Black"/>
              <w:rPr>
                <w:szCs w:val="20"/>
                <w:lang w:val="en-US"/>
              </w:rPr>
            </w:pPr>
            <w:r>
              <w:rPr>
                <w:szCs w:val="20"/>
                <w:lang w:val="en-US"/>
              </w:rPr>
              <w:t>Consistent</w:t>
            </w:r>
          </w:p>
        </w:tc>
        <w:tc>
          <w:tcPr>
            <w:tcW w:w="5954" w:type="dxa"/>
            <w:shd w:val="clear" w:color="auto" w:fill="DDD0ED" w:themeFill="text1" w:themeFillTint="33"/>
            <w:tcMar>
              <w:top w:w="57" w:type="dxa"/>
              <w:bottom w:w="57" w:type="dxa"/>
            </w:tcMar>
          </w:tcPr>
          <w:p w14:paraId="365C2582" w14:textId="6F7EBD91" w:rsidR="000F301A" w:rsidRPr="00812E9C" w:rsidRDefault="005B625E" w:rsidP="00AD0E89">
            <w:pPr>
              <w:pStyle w:val="Body-Black"/>
              <w:rPr>
                <w:szCs w:val="20"/>
                <w:lang w:val="en-US"/>
              </w:rPr>
            </w:pPr>
            <w:r>
              <w:rPr>
                <w:rFonts w:cs="Arial Narrow"/>
                <w:color w:val="1F1F20"/>
              </w:rPr>
              <w:t>The proposal does not include consultation, referral or concurrence provisions, nor identifies any development as designated development.</w:t>
            </w:r>
          </w:p>
        </w:tc>
      </w:tr>
      <w:tr w:rsidR="000F301A" w:rsidRPr="00851E9E" w14:paraId="4604751C" w14:textId="77777777" w:rsidTr="00386DE9">
        <w:tc>
          <w:tcPr>
            <w:tcW w:w="1555" w:type="dxa"/>
            <w:shd w:val="clear" w:color="auto" w:fill="DDD0ED" w:themeFill="text1" w:themeFillTint="33"/>
            <w:tcMar>
              <w:top w:w="57" w:type="dxa"/>
              <w:bottom w:w="57" w:type="dxa"/>
            </w:tcMar>
          </w:tcPr>
          <w:p w14:paraId="5BA83EDE" w14:textId="1C716BCB" w:rsidR="000F301A" w:rsidRPr="00D6610C" w:rsidRDefault="000F301A" w:rsidP="00AD0E89">
            <w:pPr>
              <w:pStyle w:val="Body-Black"/>
              <w:jc w:val="left"/>
              <w:rPr>
                <w:szCs w:val="20"/>
              </w:rPr>
            </w:pPr>
            <w:r w:rsidRPr="007F24BB">
              <w:rPr>
                <w:szCs w:val="20"/>
              </w:rPr>
              <w:lastRenderedPageBreak/>
              <w:t>6.2 Reserving Land for Public Purposes</w:t>
            </w:r>
          </w:p>
        </w:tc>
        <w:tc>
          <w:tcPr>
            <w:tcW w:w="1417" w:type="dxa"/>
            <w:shd w:val="clear" w:color="auto" w:fill="DDD0ED" w:themeFill="text1" w:themeFillTint="33"/>
          </w:tcPr>
          <w:p w14:paraId="02A86FC9" w14:textId="3D6C88E0" w:rsidR="000F301A" w:rsidRPr="00911C2B" w:rsidRDefault="00C06033" w:rsidP="00AD0E89">
            <w:pPr>
              <w:pStyle w:val="Body-Black"/>
              <w:rPr>
                <w:szCs w:val="20"/>
                <w:lang w:val="en-US"/>
              </w:rPr>
            </w:pPr>
            <w:r>
              <w:rPr>
                <w:szCs w:val="20"/>
                <w:lang w:val="en-US"/>
              </w:rPr>
              <w:t>Consistent</w:t>
            </w:r>
          </w:p>
        </w:tc>
        <w:tc>
          <w:tcPr>
            <w:tcW w:w="5954" w:type="dxa"/>
            <w:shd w:val="clear" w:color="auto" w:fill="DDD0ED" w:themeFill="text1" w:themeFillTint="33"/>
            <w:tcMar>
              <w:top w:w="57" w:type="dxa"/>
              <w:bottom w:w="57" w:type="dxa"/>
            </w:tcMar>
          </w:tcPr>
          <w:p w14:paraId="6080BDF6" w14:textId="6F8CABD1" w:rsidR="000F301A" w:rsidRPr="00812E9C" w:rsidRDefault="000F301A" w:rsidP="00AD0E89">
            <w:pPr>
              <w:pStyle w:val="Body-Black"/>
              <w:rPr>
                <w:szCs w:val="20"/>
                <w:lang w:val="en-US"/>
              </w:rPr>
            </w:pPr>
            <w:r w:rsidRPr="00911C2B">
              <w:rPr>
                <w:szCs w:val="20"/>
                <w:lang w:val="en-US"/>
              </w:rPr>
              <w:t xml:space="preserve">The </w:t>
            </w:r>
            <w:r>
              <w:t>planning proposal</w:t>
            </w:r>
            <w:r w:rsidRPr="00911C2B">
              <w:rPr>
                <w:szCs w:val="20"/>
                <w:lang w:val="en-US"/>
              </w:rPr>
              <w:t xml:space="preserve"> is consistent with this Ministerial Direction.</w:t>
            </w:r>
          </w:p>
        </w:tc>
      </w:tr>
      <w:tr w:rsidR="000F301A" w:rsidRPr="00851E9E" w14:paraId="2688DD1F" w14:textId="77777777" w:rsidTr="00386DE9">
        <w:tc>
          <w:tcPr>
            <w:tcW w:w="1555" w:type="dxa"/>
            <w:shd w:val="clear" w:color="auto" w:fill="DDD0ED" w:themeFill="text1" w:themeFillTint="33"/>
            <w:tcMar>
              <w:top w:w="57" w:type="dxa"/>
              <w:bottom w:w="57" w:type="dxa"/>
            </w:tcMar>
          </w:tcPr>
          <w:p w14:paraId="7F46ED34" w14:textId="0044C079" w:rsidR="000F301A" w:rsidRPr="00D6610C" w:rsidRDefault="000F301A" w:rsidP="00AD0E89">
            <w:pPr>
              <w:pStyle w:val="Body-Black"/>
              <w:jc w:val="left"/>
              <w:rPr>
                <w:szCs w:val="20"/>
              </w:rPr>
            </w:pPr>
            <w:r w:rsidRPr="007F24BB">
              <w:rPr>
                <w:szCs w:val="20"/>
              </w:rPr>
              <w:t xml:space="preserve">6.3 Site Specific Provisions </w:t>
            </w:r>
          </w:p>
        </w:tc>
        <w:tc>
          <w:tcPr>
            <w:tcW w:w="1417" w:type="dxa"/>
            <w:shd w:val="clear" w:color="auto" w:fill="DDD0ED" w:themeFill="text1" w:themeFillTint="33"/>
          </w:tcPr>
          <w:p w14:paraId="6D6C957F" w14:textId="08FA3881" w:rsidR="000F301A" w:rsidRPr="006A254F" w:rsidRDefault="00C06033" w:rsidP="00AD0E89">
            <w:pPr>
              <w:pStyle w:val="Body-Black"/>
              <w:rPr>
                <w:szCs w:val="20"/>
              </w:rPr>
            </w:pPr>
            <w:r>
              <w:rPr>
                <w:szCs w:val="20"/>
              </w:rPr>
              <w:t>Consistent</w:t>
            </w:r>
          </w:p>
        </w:tc>
        <w:tc>
          <w:tcPr>
            <w:tcW w:w="5954" w:type="dxa"/>
            <w:shd w:val="clear" w:color="auto" w:fill="DDD0ED" w:themeFill="text1" w:themeFillTint="33"/>
            <w:tcMar>
              <w:top w:w="57" w:type="dxa"/>
              <w:bottom w:w="57" w:type="dxa"/>
            </w:tcMar>
          </w:tcPr>
          <w:p w14:paraId="455F7D10" w14:textId="77777777" w:rsidR="00F810CE" w:rsidRPr="00F810CE" w:rsidRDefault="00F810CE" w:rsidP="00F810CE">
            <w:pPr>
              <w:pStyle w:val="Body-Black"/>
              <w:rPr>
                <w:szCs w:val="20"/>
                <w:lang w:val="en-US"/>
              </w:rPr>
            </w:pPr>
            <w:r w:rsidRPr="00F810CE">
              <w:rPr>
                <w:szCs w:val="20"/>
                <w:lang w:val="en-US"/>
              </w:rPr>
              <w:t xml:space="preserve">The proposal seeks to incorporate site specific provisions to deliver a tailored and bespoke planning response to the site and its objectives. </w:t>
            </w:r>
          </w:p>
          <w:p w14:paraId="5F06E4EA" w14:textId="7B4DAEDE" w:rsidR="000F301A" w:rsidRPr="00812E9C" w:rsidRDefault="00F810CE" w:rsidP="00F810CE">
            <w:pPr>
              <w:pStyle w:val="Body-Black"/>
              <w:rPr>
                <w:szCs w:val="20"/>
                <w:lang w:val="en-US"/>
              </w:rPr>
            </w:pPr>
            <w:r w:rsidRPr="00F810CE">
              <w:rPr>
                <w:szCs w:val="20"/>
                <w:lang w:val="en-US"/>
              </w:rPr>
              <w:t>These provisions relate preparation of a development control plan and sun protection of public open space.</w:t>
            </w:r>
          </w:p>
        </w:tc>
      </w:tr>
    </w:tbl>
    <w:p w14:paraId="65777829" w14:textId="77777777" w:rsidR="005A398A" w:rsidRPr="00851E9E" w:rsidRDefault="005A398A" w:rsidP="004F5AA0">
      <w:pPr>
        <w:pStyle w:val="Body-Black"/>
        <w:rPr>
          <w:lang w:eastAsia="ja-JP"/>
        </w:rPr>
      </w:pPr>
    </w:p>
    <w:p w14:paraId="3349B4B5" w14:textId="5063AC1B" w:rsidR="00A722E2" w:rsidRDefault="00A722E2" w:rsidP="00A06EEE">
      <w:pPr>
        <w:pStyle w:val="Sub-Heading1-Purple"/>
        <w:tabs>
          <w:tab w:val="left" w:pos="6345"/>
        </w:tabs>
        <w:spacing w:line="276" w:lineRule="auto"/>
        <w:rPr>
          <w:lang w:eastAsia="ja-JP"/>
        </w:rPr>
      </w:pPr>
      <w:bookmarkStart w:id="31" w:name="_Toc59014423"/>
      <w:r w:rsidRPr="00851E9E">
        <w:rPr>
          <w:lang w:eastAsia="ja-JP"/>
        </w:rPr>
        <w:t>Section C – Environmental, social, and economic impact</w:t>
      </w:r>
      <w:bookmarkEnd w:id="31"/>
      <w:r w:rsidR="00A06EEE">
        <w:rPr>
          <w:lang w:eastAsia="ja-JP"/>
        </w:rPr>
        <w:tab/>
      </w:r>
    </w:p>
    <w:p w14:paraId="1ACE57C2" w14:textId="77777777" w:rsidR="00A06EEE" w:rsidRPr="00851E9E" w:rsidRDefault="00A06EEE" w:rsidP="00A06EEE">
      <w:pPr>
        <w:pStyle w:val="Sub-Heading1-Purple"/>
        <w:tabs>
          <w:tab w:val="left" w:pos="6345"/>
        </w:tabs>
        <w:spacing w:line="276" w:lineRule="auto"/>
        <w:rPr>
          <w:lang w:eastAsia="ja-JP"/>
        </w:rPr>
      </w:pPr>
    </w:p>
    <w:p w14:paraId="2AE2E3D5" w14:textId="185FDC83" w:rsidR="00951B9C" w:rsidRPr="00A06EEE" w:rsidRDefault="00183B6C" w:rsidP="004F5AA0">
      <w:pPr>
        <w:pStyle w:val="Sub-Heading2-Purple"/>
        <w:numPr>
          <w:ilvl w:val="0"/>
          <w:numId w:val="1"/>
        </w:numPr>
        <w:spacing w:line="276" w:lineRule="auto"/>
      </w:pPr>
      <w:r w:rsidRPr="00851E9E">
        <w:t>Is there any likelihood that critical habitat or threatened species, populations or ecological communities, or their habitats, will be adversely affected as a result of the proposal?</w:t>
      </w:r>
    </w:p>
    <w:p w14:paraId="4BE5B940" w14:textId="6F026006" w:rsidR="00434BE7" w:rsidRPr="00434BE7" w:rsidRDefault="00434BE7" w:rsidP="00434BE7">
      <w:pPr>
        <w:pStyle w:val="Body-Black"/>
        <w:rPr>
          <w:lang w:val="en-US"/>
        </w:rPr>
      </w:pPr>
      <w:r w:rsidRPr="00434BE7">
        <w:rPr>
          <w:lang w:val="en-US"/>
        </w:rPr>
        <w:t>A Biodiversity Assessment has been prepared by Eco Logical Australia Pty Ltd in support of the Planning Proposal.</w:t>
      </w:r>
    </w:p>
    <w:p w14:paraId="47009C33" w14:textId="77777777" w:rsidR="00434BE7" w:rsidRPr="00434BE7" w:rsidRDefault="00434BE7" w:rsidP="00434BE7">
      <w:pPr>
        <w:pStyle w:val="Body-Black"/>
        <w:rPr>
          <w:lang w:val="en-US"/>
        </w:rPr>
      </w:pPr>
      <w:r w:rsidRPr="00434BE7">
        <w:rPr>
          <w:lang w:val="en-US"/>
        </w:rPr>
        <w:t xml:space="preserve">The study describes the biodiversity values within the site and assesses the impacts of the Planning Proposal and subsequent masterplan on the biodiversity values. </w:t>
      </w:r>
    </w:p>
    <w:p w14:paraId="7D752318" w14:textId="77777777" w:rsidR="00434BE7" w:rsidRPr="00434BE7" w:rsidRDefault="00434BE7" w:rsidP="00434BE7">
      <w:pPr>
        <w:pStyle w:val="Body-Black"/>
        <w:rPr>
          <w:lang w:val="en-US"/>
        </w:rPr>
      </w:pPr>
      <w:r w:rsidRPr="00434BE7">
        <w:rPr>
          <w:lang w:val="en-US"/>
        </w:rPr>
        <w:t>The report notes the study area has been subject to considerable vegetation disturbance and does not contain any remnant native vegetation.</w:t>
      </w:r>
    </w:p>
    <w:p w14:paraId="11D0565E" w14:textId="77777777" w:rsidR="00434BE7" w:rsidRPr="00434BE7" w:rsidRDefault="00434BE7" w:rsidP="00434BE7">
      <w:pPr>
        <w:pStyle w:val="Body-Black"/>
        <w:rPr>
          <w:lang w:val="en-US"/>
        </w:rPr>
      </w:pPr>
      <w:r w:rsidRPr="00434BE7">
        <w:rPr>
          <w:lang w:val="en-US"/>
        </w:rPr>
        <w:t xml:space="preserve">One threatened ecological community River-flat Eucalypt Forest on Coastal Floodplains of the NSW North Coast, Sydney Basin and South Eastern Bioregions listed as an endangered ecological community (EEC) and has been mapped as occurring within the study area. The vegetation has been established through revegetation works. It contains high weed blooms and is in poor condition. Therefore, it did not satisfy listing criteria under the Environmental Protection Biodiversity Conservation Act (EPBC Act). </w:t>
      </w:r>
    </w:p>
    <w:p w14:paraId="2DAFCBC5" w14:textId="008E175D" w:rsidR="00A06EEE" w:rsidRPr="00A06EEE" w:rsidRDefault="00434BE7" w:rsidP="00434BE7">
      <w:pPr>
        <w:pStyle w:val="Body-Black"/>
        <w:rPr>
          <w:lang w:val="en-US"/>
        </w:rPr>
      </w:pPr>
      <w:r w:rsidRPr="00434BE7">
        <w:rPr>
          <w:lang w:val="en-US"/>
        </w:rPr>
        <w:t>One matter of National Environmental Significance was identified as having potential to be adversely affected by the proposed works is the Pteropus poliocephalus (Grey-headed Flying-fox), which is listed as a vulnerable species under the EPBC Act. It is considered that this species is likely to use some of the study area for seasonal foraging. An assessment of the Commonwealth Significant Impact Criteria is required for species listed under the EPBC Act and submitted with a Biodiversity Development Assessment Report (BDAR).</w:t>
      </w:r>
    </w:p>
    <w:p w14:paraId="4BDE85C8" w14:textId="77777777" w:rsidR="005A398A" w:rsidRPr="00851E9E" w:rsidRDefault="005A398A" w:rsidP="004F5AA0">
      <w:pPr>
        <w:pStyle w:val="Sub-Heading2-Purple"/>
        <w:numPr>
          <w:ilvl w:val="0"/>
          <w:numId w:val="1"/>
        </w:numPr>
        <w:spacing w:line="276" w:lineRule="auto"/>
      </w:pPr>
      <w:r w:rsidRPr="00851E9E">
        <w:t>Are there any other likely environmental effects as a result of the planning proposal and how are they proposed to be managed?</w:t>
      </w:r>
    </w:p>
    <w:p w14:paraId="6C7315F5" w14:textId="77777777" w:rsidR="0030431B" w:rsidRPr="009255E8" w:rsidRDefault="0030431B" w:rsidP="009255E8">
      <w:pPr>
        <w:pStyle w:val="Body-Black"/>
        <w:rPr>
          <w:lang w:val="en-US"/>
        </w:rPr>
      </w:pPr>
      <w:r w:rsidRPr="009255E8">
        <w:rPr>
          <w:lang w:val="en-US"/>
        </w:rPr>
        <w:t xml:space="preserve">All relevant environmental effects have been assessed in consideration of the Planning Proposal and the envisaged development outcome achieved via the proposed amendments to LLEP 2008. </w:t>
      </w:r>
    </w:p>
    <w:p w14:paraId="161E5A62" w14:textId="77777777" w:rsidR="0030431B" w:rsidRPr="009255E8" w:rsidRDefault="0030431B" w:rsidP="009255E8">
      <w:pPr>
        <w:pStyle w:val="Body-Black"/>
        <w:rPr>
          <w:lang w:val="en-US"/>
        </w:rPr>
      </w:pPr>
      <w:r w:rsidRPr="009255E8">
        <w:rPr>
          <w:lang w:val="en-US"/>
        </w:rPr>
        <w:t xml:space="preserve">Discussion and assessment of the environmental and urban context is discussed below. </w:t>
      </w:r>
    </w:p>
    <w:p w14:paraId="257E22B7" w14:textId="77777777" w:rsidR="0030431B" w:rsidRPr="009255E8" w:rsidRDefault="0030431B" w:rsidP="009255E8">
      <w:pPr>
        <w:pStyle w:val="Body-Black"/>
        <w:rPr>
          <w:b/>
          <w:bCs/>
          <w:lang w:val="en-US"/>
        </w:rPr>
      </w:pPr>
      <w:bookmarkStart w:id="32" w:name="_Toc36204387"/>
      <w:bookmarkStart w:id="33" w:name="_Toc36636086"/>
      <w:bookmarkStart w:id="34" w:name="_Toc36648200"/>
      <w:bookmarkStart w:id="35" w:name="_Toc37774609"/>
      <w:bookmarkStart w:id="36" w:name="_Toc9429830"/>
      <w:bookmarkStart w:id="37" w:name="_Toc9497472"/>
      <w:r w:rsidRPr="009255E8">
        <w:rPr>
          <w:b/>
          <w:bCs/>
          <w:lang w:val="en-US"/>
        </w:rPr>
        <w:t>Urban Design</w:t>
      </w:r>
      <w:bookmarkEnd w:id="32"/>
      <w:bookmarkEnd w:id="33"/>
      <w:bookmarkEnd w:id="34"/>
      <w:bookmarkEnd w:id="35"/>
    </w:p>
    <w:p w14:paraId="73069A66" w14:textId="055967EC" w:rsidR="0030431B" w:rsidRPr="009255E8" w:rsidRDefault="0030431B" w:rsidP="009255E8">
      <w:pPr>
        <w:pStyle w:val="Body-Black"/>
        <w:rPr>
          <w:lang w:val="en-US"/>
        </w:rPr>
      </w:pPr>
      <w:r w:rsidRPr="009255E8">
        <w:rPr>
          <w:lang w:val="en-US"/>
        </w:rPr>
        <w:t xml:space="preserve">An Urban Design Report has been prepared by SJB in support of the Planning Proposal. </w:t>
      </w:r>
    </w:p>
    <w:p w14:paraId="5F5E25AD" w14:textId="77777777" w:rsidR="0030431B" w:rsidRPr="009255E8" w:rsidRDefault="0030431B" w:rsidP="009255E8">
      <w:pPr>
        <w:pStyle w:val="Body-Black"/>
        <w:rPr>
          <w:lang w:val="en-US"/>
        </w:rPr>
      </w:pPr>
      <w:r w:rsidRPr="009255E8">
        <w:rPr>
          <w:lang w:val="en-US"/>
        </w:rPr>
        <w:t xml:space="preserve">The report functions as the Strategic Framework for Moore Point and provides an envisaged masterplan and the foundation for the project moving forward from strategy to implementation. </w:t>
      </w:r>
    </w:p>
    <w:p w14:paraId="39D849F8" w14:textId="77777777" w:rsidR="0030431B" w:rsidRDefault="0030431B" w:rsidP="0030431B">
      <w:pPr>
        <w:pStyle w:val="Meconetext"/>
      </w:pPr>
      <w:r>
        <w:rPr>
          <w:noProof/>
        </w:rPr>
        <w:lastRenderedPageBreak/>
        <w:drawing>
          <wp:inline distT="0" distB="0" distL="0" distR="0" wp14:anchorId="6492D7A5" wp14:editId="7067D3F1">
            <wp:extent cx="5040000" cy="3209411"/>
            <wp:effectExtent l="12700" t="12700" r="14605"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 Shot 2020-04-07 at 1.44.51 pm.png"/>
                    <pic:cNvPicPr/>
                  </pic:nvPicPr>
                  <pic:blipFill>
                    <a:blip r:embed="rId25"/>
                    <a:stretch>
                      <a:fillRect/>
                    </a:stretch>
                  </pic:blipFill>
                  <pic:spPr>
                    <a:xfrm>
                      <a:off x="0" y="0"/>
                      <a:ext cx="5040000" cy="3209411"/>
                    </a:xfrm>
                    <a:prstGeom prst="rect">
                      <a:avLst/>
                    </a:prstGeom>
                    <a:ln>
                      <a:solidFill>
                        <a:schemeClr val="bg1">
                          <a:lumMod val="85000"/>
                        </a:schemeClr>
                      </a:solidFill>
                    </a:ln>
                  </pic:spPr>
                </pic:pic>
              </a:graphicData>
            </a:graphic>
          </wp:inline>
        </w:drawing>
      </w:r>
    </w:p>
    <w:p w14:paraId="399A8D0E" w14:textId="747C6752" w:rsidR="0030431B" w:rsidRDefault="0030431B" w:rsidP="009255E8">
      <w:pPr>
        <w:pStyle w:val="Caption"/>
        <w:keepNext/>
        <w:spacing w:line="276" w:lineRule="auto"/>
      </w:pPr>
      <w:bookmarkStart w:id="38" w:name="_Toc37862348"/>
      <w:r w:rsidRPr="002D29E6">
        <w:rPr>
          <w:b/>
        </w:rPr>
        <w:t xml:space="preserve">Figure </w:t>
      </w:r>
      <w:r w:rsidR="00FD1FDA">
        <w:rPr>
          <w:b/>
        </w:rPr>
        <w:t>8</w:t>
      </w:r>
      <w:r w:rsidRPr="002D29E6">
        <w:t xml:space="preserve">: </w:t>
      </w:r>
      <w:r>
        <w:t>Moore Point Masterplan (</w:t>
      </w:r>
      <w:r w:rsidRPr="002D29E6">
        <w:t>Source:</w:t>
      </w:r>
      <w:r>
        <w:t xml:space="preserve"> SJB</w:t>
      </w:r>
      <w:r w:rsidRPr="002D29E6">
        <w:t>)</w:t>
      </w:r>
      <w:bookmarkEnd w:id="38"/>
    </w:p>
    <w:p w14:paraId="79222361" w14:textId="77777777" w:rsidR="0030431B" w:rsidRPr="009255E8" w:rsidRDefault="0030431B" w:rsidP="009255E8">
      <w:pPr>
        <w:pStyle w:val="Body-Black"/>
        <w:rPr>
          <w:lang w:val="en-US"/>
        </w:rPr>
      </w:pPr>
      <w:r w:rsidRPr="009255E8">
        <w:rPr>
          <w:lang w:val="en-US"/>
        </w:rPr>
        <w:t xml:space="preserve">Of particular importance technical criteria, which outlines how the masterplan has considered the objectives and guidance of current planning policy including State Environmental Planning Policy No. 65 – Design Quality of Residential Apartment Development (SEPP 65) and the Apartment Design Guide (ADG). </w:t>
      </w:r>
    </w:p>
    <w:p w14:paraId="2DB44384" w14:textId="77777777" w:rsidR="0030431B" w:rsidRPr="009255E8" w:rsidRDefault="0030431B" w:rsidP="009255E8">
      <w:pPr>
        <w:pStyle w:val="Body-Black"/>
        <w:rPr>
          <w:lang w:val="en-US"/>
        </w:rPr>
      </w:pPr>
      <w:r w:rsidRPr="009255E8">
        <w:rPr>
          <w:lang w:val="en-US"/>
        </w:rPr>
        <w:t xml:space="preserve">The proposed massing represents what could potentially be realised on the site based on environmental and physical constraints. It is anticipated additional technical analysis and sub-precinct design will be undertaken following Gateway Determination to further rationalise the built form and address any additional matters raised through the assessment process. </w:t>
      </w:r>
    </w:p>
    <w:p w14:paraId="778EDB6B" w14:textId="77777777" w:rsidR="0030431B" w:rsidRPr="009255E8" w:rsidRDefault="0030431B" w:rsidP="009255E8">
      <w:pPr>
        <w:pStyle w:val="Body-Black"/>
        <w:rPr>
          <w:lang w:val="en-US"/>
        </w:rPr>
      </w:pPr>
      <w:r w:rsidRPr="009255E8">
        <w:rPr>
          <w:lang w:val="en-US"/>
        </w:rPr>
        <w:t>Following this, a site-specific DCP will be prepared that articulates the relevant built form and planning controls for the site for the character areas within the masterplan.</w:t>
      </w:r>
    </w:p>
    <w:p w14:paraId="3E84881D" w14:textId="77777777" w:rsidR="0030431B" w:rsidRPr="009255E8" w:rsidRDefault="0030431B" w:rsidP="009255E8">
      <w:pPr>
        <w:pStyle w:val="Body-Black"/>
        <w:rPr>
          <w:b/>
          <w:bCs/>
          <w:lang w:val="en-US"/>
        </w:rPr>
      </w:pPr>
      <w:r w:rsidRPr="009255E8">
        <w:rPr>
          <w:b/>
          <w:bCs/>
          <w:lang w:val="en-US"/>
        </w:rPr>
        <w:t>SEPP 65 Considerations</w:t>
      </w:r>
    </w:p>
    <w:p w14:paraId="7D669E44" w14:textId="77777777" w:rsidR="0030431B" w:rsidRPr="009255E8" w:rsidRDefault="0030431B" w:rsidP="009255E8">
      <w:pPr>
        <w:pStyle w:val="Body-Black"/>
        <w:rPr>
          <w:u w:val="single"/>
          <w:lang w:val="en-US"/>
        </w:rPr>
      </w:pPr>
      <w:r w:rsidRPr="009255E8">
        <w:rPr>
          <w:u w:val="single"/>
          <w:lang w:val="en-US"/>
        </w:rPr>
        <w:t>Building Setbacks</w:t>
      </w:r>
    </w:p>
    <w:p w14:paraId="64D29FD2" w14:textId="77777777" w:rsidR="0030431B" w:rsidRPr="009255E8" w:rsidRDefault="0030431B" w:rsidP="009255E8">
      <w:pPr>
        <w:pStyle w:val="Body-Black"/>
        <w:rPr>
          <w:lang w:val="en-US"/>
        </w:rPr>
      </w:pPr>
      <w:r w:rsidRPr="009255E8">
        <w:rPr>
          <w:lang w:val="en-US"/>
        </w:rPr>
        <w:t>Streets and blocks within the masterplan have been designed to ensure building separation requirements of the ADG can be achieved. All streets and setbacks have been designed to allow a minimum of 20m between podiums, and all block depths have been designed to allow for 18 to 24m separation above podiums. It is anticipated through detailed design, that all buildings will be designed to meet the design guidance and objectives of the ADG.</w:t>
      </w:r>
    </w:p>
    <w:p w14:paraId="7F4A24B6" w14:textId="77777777" w:rsidR="0030431B" w:rsidRPr="00F85480" w:rsidRDefault="0030431B" w:rsidP="009255E8">
      <w:pPr>
        <w:pStyle w:val="Body-Black"/>
        <w:rPr>
          <w:u w:val="single"/>
          <w:lang w:val="en-US"/>
        </w:rPr>
      </w:pPr>
      <w:r w:rsidRPr="00F85480">
        <w:rPr>
          <w:u w:val="single"/>
          <w:lang w:val="en-US"/>
        </w:rPr>
        <w:t>Solar Access</w:t>
      </w:r>
    </w:p>
    <w:p w14:paraId="5A6F49C2" w14:textId="77777777" w:rsidR="0030431B" w:rsidRPr="009255E8" w:rsidRDefault="0030431B" w:rsidP="009255E8">
      <w:pPr>
        <w:pStyle w:val="Body-Black"/>
        <w:rPr>
          <w:lang w:val="en-US"/>
        </w:rPr>
      </w:pPr>
      <w:r w:rsidRPr="009255E8">
        <w:rPr>
          <w:lang w:val="en-US"/>
        </w:rPr>
        <w:t xml:space="preserve">The nature of the existing grid pattern and the resulting built-form balances the site constrains and addresses amenity through the strategic placement and orientation of uses to maximise solar access in order to meet the requirements of the ADG. </w:t>
      </w:r>
    </w:p>
    <w:p w14:paraId="7A6D8A30" w14:textId="77777777" w:rsidR="0030431B" w:rsidRPr="009255E8" w:rsidRDefault="0030431B" w:rsidP="009255E8">
      <w:pPr>
        <w:pStyle w:val="Body-Black"/>
        <w:rPr>
          <w:lang w:val="en-US"/>
        </w:rPr>
      </w:pPr>
      <w:r w:rsidRPr="009255E8">
        <w:rPr>
          <w:lang w:val="en-US"/>
        </w:rPr>
        <w:t xml:space="preserve">A key factor for consideration with regards to solar access for a precinct this size is the timeframe and staging, which will be driven by market demands meaning the ultimate mix of uses between residential and non-residential may evolve over time. To respond to this, the masterplan ensures there is flexibility within </w:t>
      </w:r>
      <w:r w:rsidRPr="009255E8">
        <w:rPr>
          <w:lang w:val="en-US"/>
        </w:rPr>
        <w:lastRenderedPageBreak/>
        <w:t xml:space="preserve">the envelopes to ensure solar access is managed at a block-by-block level at the next stage of planning assessment. </w:t>
      </w:r>
    </w:p>
    <w:p w14:paraId="575B5729" w14:textId="11D3464D" w:rsidR="0030431B" w:rsidRPr="00146944" w:rsidRDefault="0030431B" w:rsidP="00146944">
      <w:pPr>
        <w:pStyle w:val="Body-Black"/>
        <w:rPr>
          <w:lang w:val="en-US"/>
        </w:rPr>
      </w:pPr>
      <w:r w:rsidRPr="00146944">
        <w:rPr>
          <w:lang w:val="en-US"/>
        </w:rPr>
        <w:t>The masterplan proposes the following design measures to ensure solar acces</w:t>
      </w:r>
      <w:r w:rsidR="00214CF8">
        <w:rPr>
          <w:lang w:val="en-US"/>
        </w:rPr>
        <w:t>s</w:t>
      </w:r>
      <w:r w:rsidRPr="00146944">
        <w:rPr>
          <w:lang w:val="en-US"/>
        </w:rPr>
        <w:t xml:space="preserve"> requirements can be achieved on each block:</w:t>
      </w:r>
    </w:p>
    <w:p w14:paraId="662BA652" w14:textId="5DC718FF" w:rsidR="0030431B" w:rsidRPr="00146944" w:rsidRDefault="0030431B" w:rsidP="00FC567E">
      <w:pPr>
        <w:pStyle w:val="Body-Black"/>
        <w:numPr>
          <w:ilvl w:val="0"/>
          <w:numId w:val="27"/>
        </w:numPr>
        <w:rPr>
          <w:lang w:val="en-US"/>
        </w:rPr>
      </w:pPr>
      <w:r w:rsidRPr="00146944">
        <w:rPr>
          <w:lang w:val="en-US"/>
        </w:rPr>
        <w:t>Orientate towers on a north south axis to maximise solar to a maximum of 8 degrees off north; and</w:t>
      </w:r>
    </w:p>
    <w:p w14:paraId="33987D3E" w14:textId="24AEFAF6" w:rsidR="0030431B" w:rsidRPr="00146944" w:rsidRDefault="0030431B" w:rsidP="00FC567E">
      <w:pPr>
        <w:pStyle w:val="Body-Black"/>
        <w:numPr>
          <w:ilvl w:val="0"/>
          <w:numId w:val="27"/>
        </w:numPr>
        <w:rPr>
          <w:lang w:val="en-US"/>
        </w:rPr>
      </w:pPr>
      <w:r w:rsidRPr="00146944">
        <w:rPr>
          <w:lang w:val="en-US"/>
        </w:rPr>
        <w:t>Maximise apartments on the northern e</w:t>
      </w:r>
      <w:r w:rsidR="00B3588D">
        <w:rPr>
          <w:lang w:val="en-US"/>
        </w:rPr>
        <w:t>d</w:t>
      </w:r>
      <w:r w:rsidRPr="00146944">
        <w:rPr>
          <w:lang w:val="en-US"/>
        </w:rPr>
        <w:t xml:space="preserve">ges of the blocks – locating cores and on-residential uses to the south. </w:t>
      </w:r>
    </w:p>
    <w:p w14:paraId="7C098B1C" w14:textId="77777777" w:rsidR="0030431B" w:rsidRPr="00146944" w:rsidRDefault="0030431B" w:rsidP="00146944">
      <w:pPr>
        <w:pStyle w:val="Body-Black"/>
        <w:rPr>
          <w:lang w:val="en-US"/>
        </w:rPr>
      </w:pPr>
      <w:r w:rsidRPr="00146944">
        <w:rPr>
          <w:lang w:val="en-US"/>
        </w:rPr>
        <w:t>The masterplan provides a balance between a place-based approach (heritage grid, relationship to river and lake) and the requirement for compliance including building separation, overshadowing and solar access. The envisaged masterplan reflects existing site characteristics and optimises place-based opportunities, enabling a level of density that does not compromise on the amenity of surrounding residents or future residents within the site.</w:t>
      </w:r>
    </w:p>
    <w:p w14:paraId="152ABE57" w14:textId="77777777" w:rsidR="0030431B" w:rsidRPr="00A257C7" w:rsidRDefault="0030431B" w:rsidP="00146944">
      <w:pPr>
        <w:pStyle w:val="Body-Black"/>
        <w:rPr>
          <w:b/>
          <w:bCs/>
          <w:lang w:val="en-US"/>
        </w:rPr>
      </w:pPr>
      <w:r w:rsidRPr="00A257C7">
        <w:rPr>
          <w:b/>
          <w:bCs/>
          <w:lang w:val="en-US"/>
        </w:rPr>
        <w:t>Staging</w:t>
      </w:r>
    </w:p>
    <w:p w14:paraId="23D4CB2D" w14:textId="77777777" w:rsidR="0030431B" w:rsidRPr="00146944" w:rsidRDefault="0030431B" w:rsidP="00146944">
      <w:pPr>
        <w:pStyle w:val="Body-Black"/>
        <w:rPr>
          <w:lang w:val="en-US"/>
        </w:rPr>
      </w:pPr>
      <w:r w:rsidRPr="00146944">
        <w:rPr>
          <w:lang w:val="en-US"/>
        </w:rPr>
        <w:t xml:space="preserve">The delivery of the masterplan will be staged up to 2051.The staging only considers the proponents landholdings and does not take into consideration other landholdings in the study area. The approach to staging considers the availability of land over time, and the associated delivery of public open space and community infrastructure.  </w:t>
      </w:r>
    </w:p>
    <w:p w14:paraId="35834056" w14:textId="77777777" w:rsidR="0030431B" w:rsidRPr="00146944" w:rsidRDefault="0030431B" w:rsidP="00146944">
      <w:pPr>
        <w:pStyle w:val="Body-Black"/>
        <w:rPr>
          <w:lang w:val="en-US"/>
        </w:rPr>
      </w:pPr>
      <w:r w:rsidRPr="00146944">
        <w:rPr>
          <w:lang w:val="en-US"/>
        </w:rPr>
        <w:t>The staging plan is proposed as follows:</w:t>
      </w:r>
    </w:p>
    <w:p w14:paraId="0747E58F" w14:textId="77777777" w:rsidR="0030431B" w:rsidRPr="00146944" w:rsidRDefault="0030431B" w:rsidP="00FC567E">
      <w:pPr>
        <w:pStyle w:val="Body-Black"/>
        <w:numPr>
          <w:ilvl w:val="0"/>
          <w:numId w:val="28"/>
        </w:numPr>
        <w:rPr>
          <w:lang w:val="en-US"/>
        </w:rPr>
      </w:pPr>
      <w:r w:rsidRPr="00146944">
        <w:rPr>
          <w:lang w:val="en-US"/>
        </w:rPr>
        <w:t xml:space="preserve">Stage 1 – North west of the site closest to Liverpool CBD; </w:t>
      </w:r>
    </w:p>
    <w:p w14:paraId="6C3E48E8" w14:textId="77777777" w:rsidR="0030431B" w:rsidRPr="00146944" w:rsidRDefault="0030431B" w:rsidP="00FC567E">
      <w:pPr>
        <w:pStyle w:val="Body-Black"/>
        <w:numPr>
          <w:ilvl w:val="0"/>
          <w:numId w:val="28"/>
        </w:numPr>
        <w:rPr>
          <w:lang w:val="en-US"/>
        </w:rPr>
      </w:pPr>
      <w:r w:rsidRPr="00146944">
        <w:rPr>
          <w:lang w:val="en-US"/>
        </w:rPr>
        <w:t>Stage 2 – Predominantly around Haigh Park, Lake Moore and two blocks bound by the internal loop road; and</w:t>
      </w:r>
    </w:p>
    <w:p w14:paraId="2C7FE1B2" w14:textId="77777777" w:rsidR="0030431B" w:rsidRPr="00146944" w:rsidRDefault="0030431B" w:rsidP="00FC567E">
      <w:pPr>
        <w:pStyle w:val="Body-Black"/>
        <w:numPr>
          <w:ilvl w:val="0"/>
          <w:numId w:val="28"/>
        </w:numPr>
        <w:rPr>
          <w:lang w:val="en-US"/>
        </w:rPr>
      </w:pPr>
      <w:r w:rsidRPr="00146944">
        <w:rPr>
          <w:lang w:val="en-US"/>
        </w:rPr>
        <w:t>Stage 3 – Southern portion of the masterplan closest to Newbridge Road.</w:t>
      </w:r>
    </w:p>
    <w:p w14:paraId="4102356B" w14:textId="77777777" w:rsidR="0030431B" w:rsidRDefault="0030431B" w:rsidP="0030431B">
      <w:pPr>
        <w:pStyle w:val="Meconetext"/>
      </w:pPr>
      <w:r>
        <w:rPr>
          <w:noProof/>
        </w:rPr>
        <w:drawing>
          <wp:inline distT="0" distB="0" distL="0" distR="0" wp14:anchorId="5A3AC02E" wp14:editId="3FA26765">
            <wp:extent cx="3309794" cy="2353447"/>
            <wp:effectExtent l="19050" t="19050" r="24130" b="279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roposed Strategy - Roadmap.jpg"/>
                    <pic:cNvPicPr/>
                  </pic:nvPicPr>
                  <pic:blipFill>
                    <a:blip r:embed="rId26"/>
                    <a:stretch>
                      <a:fillRect/>
                    </a:stretch>
                  </pic:blipFill>
                  <pic:spPr>
                    <a:xfrm>
                      <a:off x="0" y="0"/>
                      <a:ext cx="3331862" cy="2369139"/>
                    </a:xfrm>
                    <a:prstGeom prst="rect">
                      <a:avLst/>
                    </a:prstGeom>
                    <a:ln>
                      <a:solidFill>
                        <a:schemeClr val="bg1">
                          <a:lumMod val="85000"/>
                        </a:schemeClr>
                      </a:solidFill>
                    </a:ln>
                  </pic:spPr>
                </pic:pic>
              </a:graphicData>
            </a:graphic>
          </wp:inline>
        </w:drawing>
      </w:r>
    </w:p>
    <w:p w14:paraId="0CC815DA" w14:textId="589A60EB" w:rsidR="0030431B" w:rsidRDefault="0030431B" w:rsidP="00A257C7">
      <w:pPr>
        <w:pStyle w:val="Caption"/>
        <w:keepNext/>
        <w:spacing w:line="276" w:lineRule="auto"/>
      </w:pPr>
      <w:bookmarkStart w:id="39" w:name="_Toc37862349"/>
      <w:r w:rsidRPr="002D29E6">
        <w:rPr>
          <w:b/>
        </w:rPr>
        <w:t xml:space="preserve">Figure </w:t>
      </w:r>
      <w:r w:rsidR="00FD1FDA">
        <w:rPr>
          <w:b/>
        </w:rPr>
        <w:t>9</w:t>
      </w:r>
      <w:r w:rsidRPr="002D29E6">
        <w:t xml:space="preserve">: </w:t>
      </w:r>
      <w:r>
        <w:t>Staging Plan (</w:t>
      </w:r>
      <w:r w:rsidRPr="002D29E6">
        <w:t>Source:</w:t>
      </w:r>
      <w:r>
        <w:t xml:space="preserve"> SJB</w:t>
      </w:r>
      <w:r w:rsidRPr="002D29E6">
        <w:t>)</w:t>
      </w:r>
      <w:bookmarkEnd w:id="39"/>
    </w:p>
    <w:p w14:paraId="72FB06B6" w14:textId="77777777" w:rsidR="0030431B" w:rsidRPr="00A257C7" w:rsidRDefault="0030431B" w:rsidP="00A257C7">
      <w:pPr>
        <w:pStyle w:val="Body-Black"/>
        <w:rPr>
          <w:lang w:val="en-US"/>
        </w:rPr>
      </w:pPr>
      <w:r w:rsidRPr="00A257C7">
        <w:rPr>
          <w:lang w:val="en-US"/>
        </w:rPr>
        <w:t xml:space="preserve">It is proposed to incorporate a detailed staging plan into the site-specific Section 7.11 Contributions Plan following Gateway Determination to lock in the delivery of certain infrastructure items with construction of development. </w:t>
      </w:r>
    </w:p>
    <w:bookmarkEnd w:id="36"/>
    <w:bookmarkEnd w:id="37"/>
    <w:p w14:paraId="233D6F00" w14:textId="4967A50F" w:rsidR="0030431B" w:rsidRPr="00A257C7" w:rsidRDefault="0030431B" w:rsidP="00A257C7">
      <w:pPr>
        <w:pStyle w:val="Body-Black"/>
        <w:rPr>
          <w:lang w:val="en-US"/>
        </w:rPr>
      </w:pPr>
      <w:r w:rsidRPr="00A257C7">
        <w:rPr>
          <w:lang w:val="en-US"/>
        </w:rPr>
        <w:lastRenderedPageBreak/>
        <w:t xml:space="preserve">A Place Design Framework has been prepared by Roberts in support of the Planning Proposal. The Place Design Framework sets out the key principles that will guide activation and decision making at the site transforms and should be read in conjunction with the Urban Design Report prepared by SJB. </w:t>
      </w:r>
    </w:p>
    <w:p w14:paraId="06D828A6" w14:textId="77777777" w:rsidR="0030431B" w:rsidRPr="00A257C7" w:rsidRDefault="0030431B" w:rsidP="00A257C7">
      <w:pPr>
        <w:pStyle w:val="Body-Black"/>
        <w:rPr>
          <w:b/>
          <w:bCs/>
        </w:rPr>
      </w:pPr>
      <w:bookmarkStart w:id="40" w:name="_Toc9429832"/>
      <w:bookmarkStart w:id="41" w:name="_Toc9497474"/>
      <w:bookmarkStart w:id="42" w:name="_Toc36204390"/>
      <w:bookmarkStart w:id="43" w:name="_Toc36636089"/>
      <w:bookmarkStart w:id="44" w:name="_Toc36648203"/>
      <w:bookmarkStart w:id="45" w:name="_Toc37774610"/>
      <w:r w:rsidRPr="00A257C7">
        <w:rPr>
          <w:b/>
          <w:bCs/>
        </w:rPr>
        <w:t xml:space="preserve">Traffic and </w:t>
      </w:r>
      <w:r w:rsidRPr="00A257C7">
        <w:rPr>
          <w:b/>
          <w:bCs/>
          <w:lang w:val="en-US"/>
        </w:rPr>
        <w:t>Transport</w:t>
      </w:r>
      <w:bookmarkEnd w:id="40"/>
      <w:bookmarkEnd w:id="41"/>
      <w:bookmarkEnd w:id="42"/>
      <w:bookmarkEnd w:id="43"/>
      <w:bookmarkEnd w:id="44"/>
      <w:bookmarkEnd w:id="45"/>
    </w:p>
    <w:p w14:paraId="2D9C0D05" w14:textId="3A16CEEC" w:rsidR="0030431B" w:rsidRPr="00A257C7" w:rsidRDefault="0030431B" w:rsidP="00A257C7">
      <w:pPr>
        <w:pStyle w:val="Body-Black"/>
        <w:rPr>
          <w:lang w:val="en-US"/>
        </w:rPr>
      </w:pPr>
      <w:r w:rsidRPr="00A257C7">
        <w:rPr>
          <w:lang w:val="en-US"/>
        </w:rPr>
        <w:t>A Strategic Transport Impact Assessment has been prepared by Aurecon in support of the Planning Proposal.</w:t>
      </w:r>
    </w:p>
    <w:p w14:paraId="56AC52CE" w14:textId="77777777" w:rsidR="0030431B" w:rsidRPr="00A257C7" w:rsidRDefault="0030431B" w:rsidP="00A257C7">
      <w:pPr>
        <w:pStyle w:val="Body-Black"/>
        <w:rPr>
          <w:lang w:val="en-US"/>
        </w:rPr>
      </w:pPr>
      <w:r w:rsidRPr="00A257C7">
        <w:rPr>
          <w:lang w:val="en-US"/>
        </w:rPr>
        <w:t xml:space="preserve">The report provides an overview of existing and planned transport infrastructure capable of supporting the Planning Proposal, as well as outlining a two-stage transport investigation assessment during the rezoning process. </w:t>
      </w:r>
    </w:p>
    <w:p w14:paraId="2BF18872" w14:textId="77777777" w:rsidR="0030431B" w:rsidRPr="00A257C7" w:rsidRDefault="0030431B" w:rsidP="00A257C7">
      <w:pPr>
        <w:pStyle w:val="Body-Black"/>
        <w:rPr>
          <w:lang w:val="en-US"/>
        </w:rPr>
      </w:pPr>
      <w:r w:rsidRPr="00A257C7">
        <w:rPr>
          <w:lang w:val="en-US"/>
        </w:rPr>
        <w:t>The objective of these studies is to ensure the successful integration of Moore Point into the current and future planned transport network of the Collaboration Area. These are detailed below.</w:t>
      </w:r>
    </w:p>
    <w:p w14:paraId="6C0C4E8F" w14:textId="77777777" w:rsidR="0030431B" w:rsidRPr="00B3588D" w:rsidRDefault="0030431B" w:rsidP="00A257C7">
      <w:pPr>
        <w:pStyle w:val="Body-Black"/>
        <w:rPr>
          <w:u w:val="single"/>
          <w:lang w:val="en-US"/>
        </w:rPr>
      </w:pPr>
      <w:r w:rsidRPr="00B3588D">
        <w:rPr>
          <w:u w:val="single"/>
          <w:lang w:val="en-US"/>
        </w:rPr>
        <w:t>Transport Infrastructure Working Group</w:t>
      </w:r>
    </w:p>
    <w:p w14:paraId="2F2EB94A" w14:textId="77777777" w:rsidR="0030431B" w:rsidRPr="00A257C7" w:rsidRDefault="0030431B" w:rsidP="00A257C7">
      <w:pPr>
        <w:pStyle w:val="Body-Black"/>
        <w:rPr>
          <w:lang w:val="en-US"/>
        </w:rPr>
      </w:pPr>
      <w:r w:rsidRPr="00A257C7">
        <w:rPr>
          <w:lang w:val="en-US"/>
        </w:rPr>
        <w:t xml:space="preserve">A Transport Infrastructure Working Group (TIWG) has been established to facilitate an integrated and connected transport vision for Moore Point. </w:t>
      </w:r>
    </w:p>
    <w:p w14:paraId="2E8710BE" w14:textId="77777777" w:rsidR="0030431B" w:rsidRPr="00A257C7" w:rsidRDefault="0030431B" w:rsidP="00A257C7">
      <w:pPr>
        <w:pStyle w:val="Body-Black"/>
        <w:rPr>
          <w:lang w:val="en-US"/>
        </w:rPr>
      </w:pPr>
      <w:r w:rsidRPr="00A257C7">
        <w:rPr>
          <w:lang w:val="en-US"/>
        </w:rPr>
        <w:t xml:space="preserve">The TIWG will involve TfNSW and Council to ensure the Planning Proposal aligns with the overarching Place Strategy for Liverpool Collaboration Area and the successful integration of Moore Point into the current and future planned transport network. </w:t>
      </w:r>
    </w:p>
    <w:p w14:paraId="0E9A2018" w14:textId="77777777" w:rsidR="0030431B" w:rsidRPr="00B3588D" w:rsidRDefault="0030431B" w:rsidP="00A257C7">
      <w:pPr>
        <w:pStyle w:val="Body-Black"/>
        <w:rPr>
          <w:i/>
          <w:iCs w:val="0"/>
          <w:lang w:val="en-US"/>
        </w:rPr>
      </w:pPr>
      <w:r w:rsidRPr="00B3588D">
        <w:rPr>
          <w:i/>
          <w:iCs w:val="0"/>
          <w:lang w:val="en-US"/>
        </w:rPr>
        <w:t>Stage 1 – Due Diligence and Strategic Assessment</w:t>
      </w:r>
    </w:p>
    <w:p w14:paraId="49CDEEBE" w14:textId="77777777" w:rsidR="0030431B" w:rsidRPr="00A257C7" w:rsidRDefault="0030431B" w:rsidP="00A257C7">
      <w:pPr>
        <w:pStyle w:val="Body-Black"/>
        <w:rPr>
          <w:lang w:val="en-US"/>
        </w:rPr>
      </w:pPr>
      <w:r w:rsidRPr="00A257C7">
        <w:rPr>
          <w:lang w:val="en-US"/>
        </w:rPr>
        <w:t xml:space="preserve">This stage will establish a strategic analysis of the transport infrastructure required to support the Planning Proposal and eventual masterplan. The assessment will be informed by work done by TfNSW to develop a place-based transport strategy for the Collaboration Area and surrounds. The findings will inform development scenarios for further assessment. </w:t>
      </w:r>
    </w:p>
    <w:p w14:paraId="7C4CC76F" w14:textId="77777777" w:rsidR="0030431B" w:rsidRPr="00A257C7" w:rsidRDefault="0030431B" w:rsidP="00A257C7">
      <w:pPr>
        <w:pStyle w:val="Body-Black"/>
        <w:rPr>
          <w:lang w:val="en-US"/>
        </w:rPr>
      </w:pPr>
      <w:r w:rsidRPr="00A257C7">
        <w:rPr>
          <w:lang w:val="en-US"/>
        </w:rPr>
        <w:t xml:space="preserve">The appropriate land use and staging scenarios will be agreed with Council, while also ensuring committed and planned infrastructure are agreed with TfNSW to feed into the assumptions of the baseline scenario. </w:t>
      </w:r>
    </w:p>
    <w:p w14:paraId="288BFA6A" w14:textId="77777777" w:rsidR="0030431B" w:rsidRPr="00A257C7" w:rsidRDefault="0030431B" w:rsidP="00A257C7">
      <w:pPr>
        <w:pStyle w:val="Body-Black"/>
        <w:rPr>
          <w:lang w:val="en-US"/>
        </w:rPr>
      </w:pPr>
      <w:r w:rsidRPr="00A257C7">
        <w:rPr>
          <w:lang w:val="en-US"/>
        </w:rPr>
        <w:t xml:space="preserve">Once the assumptions and staging scenarios have been agreed, strategic transport modelling will be undertaken using TfNSW Strategic Transport Model (STM) and Public Transport Project Model (PTPM). This will derive the additional distribution of transport demand across various parts of the transport network as a result of land use changes envisaged across the Collaboration Area. </w:t>
      </w:r>
    </w:p>
    <w:p w14:paraId="1D128F8C" w14:textId="77777777" w:rsidR="0030431B" w:rsidRPr="00A257C7" w:rsidRDefault="0030431B" w:rsidP="00A257C7">
      <w:pPr>
        <w:pStyle w:val="Body-Black"/>
        <w:rPr>
          <w:lang w:val="en-US"/>
        </w:rPr>
      </w:pPr>
      <w:r w:rsidRPr="00A257C7">
        <w:rPr>
          <w:lang w:val="en-US"/>
        </w:rPr>
        <w:t xml:space="preserve">These outputs will be fed into a Strategic Traffic Forecasting Model (FTFM) to inform the strategic transport evaluation component and provide an understanding of the scale of impacts of the Planning Proposal on the transport network. </w:t>
      </w:r>
    </w:p>
    <w:p w14:paraId="6C19BBEF" w14:textId="77777777" w:rsidR="0030431B" w:rsidRPr="00A257C7" w:rsidRDefault="0030431B" w:rsidP="00A257C7">
      <w:pPr>
        <w:pStyle w:val="Body-Black"/>
        <w:rPr>
          <w:lang w:val="en-US"/>
        </w:rPr>
      </w:pPr>
      <w:r w:rsidRPr="00A257C7">
        <w:rPr>
          <w:lang w:val="en-US"/>
        </w:rPr>
        <w:t>A summary of this process is provided below.</w:t>
      </w:r>
    </w:p>
    <w:p w14:paraId="324BA401" w14:textId="77777777" w:rsidR="0030431B" w:rsidRPr="00A257C7" w:rsidRDefault="0030431B" w:rsidP="00A257C7">
      <w:pPr>
        <w:pStyle w:val="Body-Black"/>
        <w:rPr>
          <w:lang w:val="en-US"/>
        </w:rPr>
      </w:pPr>
      <w:r w:rsidRPr="00A257C7">
        <w:rPr>
          <w:noProof/>
          <w:lang w:val="en-US"/>
        </w:rPr>
        <w:lastRenderedPageBreak/>
        <w:drawing>
          <wp:inline distT="0" distB="0" distL="0" distR="0" wp14:anchorId="5B7909D2" wp14:editId="4D7A92C8">
            <wp:extent cx="5220000" cy="3108349"/>
            <wp:effectExtent l="12700" t="12700" r="12700" b="1587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roposed Strategy - Roadmap.jpg"/>
                    <pic:cNvPicPr/>
                  </pic:nvPicPr>
                  <pic:blipFill>
                    <a:blip r:embed="rId27">
                      <a:extLst>
                        <a:ext uri="{28A0092B-C50C-407E-A947-70E740481C1C}">
                          <a14:useLocalDpi xmlns:a14="http://schemas.microsoft.com/office/drawing/2010/main" val="0"/>
                        </a:ext>
                      </a:extLst>
                    </a:blip>
                    <a:stretch>
                      <a:fillRect/>
                    </a:stretch>
                  </pic:blipFill>
                  <pic:spPr>
                    <a:xfrm>
                      <a:off x="0" y="0"/>
                      <a:ext cx="5220000" cy="3108349"/>
                    </a:xfrm>
                    <a:prstGeom prst="rect">
                      <a:avLst/>
                    </a:prstGeom>
                    <a:ln>
                      <a:solidFill>
                        <a:schemeClr val="bg1">
                          <a:lumMod val="85000"/>
                        </a:schemeClr>
                      </a:solidFill>
                    </a:ln>
                  </pic:spPr>
                </pic:pic>
              </a:graphicData>
            </a:graphic>
          </wp:inline>
        </w:drawing>
      </w:r>
    </w:p>
    <w:p w14:paraId="1ADF8EA9" w14:textId="6FE737D4" w:rsidR="0030431B" w:rsidRPr="00A257C7" w:rsidRDefault="0030431B" w:rsidP="00B3588D">
      <w:pPr>
        <w:pStyle w:val="Caption"/>
        <w:keepNext/>
        <w:spacing w:line="276" w:lineRule="auto"/>
      </w:pPr>
      <w:bookmarkStart w:id="46" w:name="_Toc37862350"/>
      <w:r w:rsidRPr="00B3588D">
        <w:rPr>
          <w:b/>
          <w:bCs/>
        </w:rPr>
        <w:t xml:space="preserve">Figure </w:t>
      </w:r>
      <w:r w:rsidR="00FD1FDA">
        <w:rPr>
          <w:b/>
          <w:bCs/>
        </w:rPr>
        <w:t>10</w:t>
      </w:r>
      <w:r w:rsidRPr="00B3588D">
        <w:rPr>
          <w:b/>
          <w:bCs/>
        </w:rPr>
        <w:t>:</w:t>
      </w:r>
      <w:r w:rsidRPr="00A257C7">
        <w:t xml:space="preserve"> Proposed Stage 1 Approach (Source: Aurecon)</w:t>
      </w:r>
      <w:bookmarkEnd w:id="46"/>
    </w:p>
    <w:p w14:paraId="0D70AA23" w14:textId="77777777" w:rsidR="0030431B" w:rsidRPr="00A257C7" w:rsidRDefault="0030431B" w:rsidP="00A257C7">
      <w:pPr>
        <w:pStyle w:val="Body-Black"/>
        <w:rPr>
          <w:lang w:val="en-US"/>
        </w:rPr>
      </w:pPr>
      <w:r w:rsidRPr="00A257C7">
        <w:rPr>
          <w:lang w:val="en-US"/>
        </w:rPr>
        <w:t>The final deliverable for Stage 1 will be the submission of a Preferred Land Use and Transport Infrastructure Scenario, which will include:</w:t>
      </w:r>
    </w:p>
    <w:p w14:paraId="363BB1CB" w14:textId="77777777" w:rsidR="0030431B" w:rsidRPr="00A257C7" w:rsidRDefault="0030431B" w:rsidP="00FC567E">
      <w:pPr>
        <w:pStyle w:val="Body-Black"/>
        <w:numPr>
          <w:ilvl w:val="0"/>
          <w:numId w:val="29"/>
        </w:numPr>
        <w:rPr>
          <w:lang w:val="en-US"/>
        </w:rPr>
      </w:pPr>
      <w:r w:rsidRPr="00A257C7">
        <w:rPr>
          <w:lang w:val="en-US"/>
        </w:rPr>
        <w:t xml:space="preserve">A Land Use and Transport Strategy for the Collaboration Area; </w:t>
      </w:r>
    </w:p>
    <w:p w14:paraId="2B20919D" w14:textId="77777777" w:rsidR="0030431B" w:rsidRPr="00A257C7" w:rsidRDefault="0030431B" w:rsidP="00FC567E">
      <w:pPr>
        <w:pStyle w:val="Body-Black"/>
        <w:numPr>
          <w:ilvl w:val="0"/>
          <w:numId w:val="29"/>
        </w:numPr>
        <w:rPr>
          <w:lang w:val="en-US"/>
        </w:rPr>
      </w:pPr>
      <w:r w:rsidRPr="00A257C7">
        <w:rPr>
          <w:lang w:val="en-US"/>
        </w:rPr>
        <w:t>A high level cost estimate of key infrastructure requirements and transport access strategy for interim and ultimate development scenarios; and</w:t>
      </w:r>
    </w:p>
    <w:p w14:paraId="1B7EF7D9" w14:textId="77777777" w:rsidR="0030431B" w:rsidRPr="00A257C7" w:rsidRDefault="0030431B" w:rsidP="00FC567E">
      <w:pPr>
        <w:pStyle w:val="Body-Black"/>
        <w:numPr>
          <w:ilvl w:val="0"/>
          <w:numId w:val="29"/>
        </w:numPr>
        <w:rPr>
          <w:lang w:val="en-US"/>
        </w:rPr>
      </w:pPr>
      <w:r w:rsidRPr="00A257C7">
        <w:rPr>
          <w:lang w:val="en-US"/>
        </w:rPr>
        <w:t xml:space="preserve">An agreed funding mechanism. </w:t>
      </w:r>
    </w:p>
    <w:p w14:paraId="70F70211" w14:textId="77777777" w:rsidR="0030431B" w:rsidRPr="00110BA5" w:rsidRDefault="0030431B" w:rsidP="00A257C7">
      <w:pPr>
        <w:pStyle w:val="Body-Black"/>
        <w:rPr>
          <w:i/>
          <w:iCs w:val="0"/>
          <w:lang w:val="en-US"/>
        </w:rPr>
      </w:pPr>
      <w:bookmarkStart w:id="47" w:name="_Toc36204391"/>
      <w:r w:rsidRPr="00110BA5">
        <w:rPr>
          <w:i/>
          <w:iCs w:val="0"/>
          <w:lang w:val="en-US"/>
        </w:rPr>
        <w:t>Stage 2 – Detailed Transport and Traffic Assessment</w:t>
      </w:r>
    </w:p>
    <w:p w14:paraId="4F1735E5" w14:textId="77777777" w:rsidR="0030431B" w:rsidRPr="00A257C7" w:rsidRDefault="0030431B" w:rsidP="00A257C7">
      <w:pPr>
        <w:pStyle w:val="Body-Black"/>
        <w:rPr>
          <w:lang w:val="en-US"/>
        </w:rPr>
      </w:pPr>
      <w:r w:rsidRPr="00A257C7">
        <w:rPr>
          <w:lang w:val="en-US"/>
        </w:rPr>
        <w:t xml:space="preserve">Stage 2 will involve the development of a more detailed assessment to assist in accurately identifying and informing the scope and costs for any infrastructure including local transport infrastructure. </w:t>
      </w:r>
    </w:p>
    <w:p w14:paraId="487B6570" w14:textId="77777777" w:rsidR="0030431B" w:rsidRPr="00A257C7" w:rsidRDefault="0030431B" w:rsidP="00A257C7">
      <w:pPr>
        <w:pStyle w:val="Body-Black"/>
        <w:rPr>
          <w:lang w:val="en-US"/>
        </w:rPr>
      </w:pPr>
      <w:r w:rsidRPr="00A257C7">
        <w:rPr>
          <w:lang w:val="en-US"/>
        </w:rPr>
        <w:t>A detailed transport and traffic assessment largely in the context of a Transport Management Accessibility Plan (TMAP) will be required to identify the infrastructure and service requirements and determine the development contributions.</w:t>
      </w:r>
    </w:p>
    <w:p w14:paraId="40EF4BF6" w14:textId="77777777" w:rsidR="0030431B" w:rsidRPr="00A257C7" w:rsidRDefault="0030431B" w:rsidP="00A257C7">
      <w:pPr>
        <w:pStyle w:val="Body-Black"/>
        <w:rPr>
          <w:lang w:val="en-US"/>
        </w:rPr>
      </w:pPr>
      <w:r w:rsidRPr="00A257C7">
        <w:rPr>
          <w:lang w:val="en-US"/>
        </w:rPr>
        <w:t xml:space="preserve">It is anticipated that Gateway Determination will be issued with conditions that will align with the outcomes of the Stage 1 Strategic Assessment, to be agreed by the TIWG. </w:t>
      </w:r>
    </w:p>
    <w:p w14:paraId="3741E0C7" w14:textId="77777777" w:rsidR="0030431B" w:rsidRPr="003504A8" w:rsidRDefault="0030431B" w:rsidP="00A257C7">
      <w:pPr>
        <w:pStyle w:val="Body-Black"/>
        <w:rPr>
          <w:b/>
          <w:bCs/>
          <w:lang w:val="en-US"/>
        </w:rPr>
      </w:pPr>
      <w:bookmarkStart w:id="48" w:name="_Toc9429836"/>
      <w:bookmarkStart w:id="49" w:name="_Toc9497478"/>
      <w:bookmarkStart w:id="50" w:name="_Toc36204392"/>
      <w:bookmarkStart w:id="51" w:name="_Toc36636091"/>
      <w:bookmarkStart w:id="52" w:name="_Toc36648205"/>
      <w:bookmarkStart w:id="53" w:name="_Toc37774612"/>
      <w:bookmarkStart w:id="54" w:name="_Toc9429833"/>
      <w:bookmarkStart w:id="55" w:name="_Toc9497475"/>
      <w:bookmarkEnd w:id="47"/>
      <w:r w:rsidRPr="003504A8">
        <w:rPr>
          <w:b/>
          <w:bCs/>
          <w:lang w:val="en-US"/>
        </w:rPr>
        <w:t>Aviation</w:t>
      </w:r>
      <w:bookmarkEnd w:id="48"/>
      <w:bookmarkEnd w:id="49"/>
      <w:bookmarkEnd w:id="50"/>
      <w:bookmarkEnd w:id="51"/>
      <w:bookmarkEnd w:id="52"/>
      <w:bookmarkEnd w:id="53"/>
      <w:r w:rsidRPr="003504A8">
        <w:rPr>
          <w:b/>
          <w:bCs/>
          <w:lang w:val="en-US"/>
        </w:rPr>
        <w:t xml:space="preserve"> </w:t>
      </w:r>
    </w:p>
    <w:p w14:paraId="755905E9" w14:textId="5DC12990" w:rsidR="0030431B" w:rsidRPr="00A257C7" w:rsidRDefault="0030431B" w:rsidP="00A257C7">
      <w:pPr>
        <w:pStyle w:val="Body-Black"/>
        <w:rPr>
          <w:lang w:val="en-US"/>
        </w:rPr>
      </w:pPr>
      <w:r w:rsidRPr="00A257C7">
        <w:rPr>
          <w:lang w:val="en-US"/>
        </w:rPr>
        <w:t>An Aeronautical Assessment Report has been prepared by Strategic Airspace in support of the Planning Proposal.</w:t>
      </w:r>
    </w:p>
    <w:p w14:paraId="7344B0C1" w14:textId="77777777" w:rsidR="0030431B" w:rsidRPr="00A257C7" w:rsidRDefault="0030431B" w:rsidP="00A257C7">
      <w:pPr>
        <w:pStyle w:val="Body-Black"/>
        <w:rPr>
          <w:lang w:val="en-US"/>
        </w:rPr>
      </w:pPr>
      <w:r w:rsidRPr="00A257C7">
        <w:rPr>
          <w:lang w:val="en-US"/>
        </w:rPr>
        <w:t xml:space="preserve">The report examines the current and future regulated airspace height constraints overhead the site that are related to airspace protection requirements that would trigger requirements for an airspace height approval (Obstacle Limitation Surface/OLS) and constrain the maximum permissible envelope heights (Procedures </w:t>
      </w:r>
      <w:r w:rsidRPr="00A257C7">
        <w:rPr>
          <w:lang w:val="en-US"/>
        </w:rPr>
        <w:lastRenderedPageBreak/>
        <w:t>for Air Navigation Services – Aircraft Operations/PANS-OPS). Key findings of the report are summarised below.</w:t>
      </w:r>
    </w:p>
    <w:p w14:paraId="2D3DD8B8" w14:textId="77777777" w:rsidR="0030431B" w:rsidRPr="003504A8" w:rsidRDefault="0030431B" w:rsidP="00A257C7">
      <w:pPr>
        <w:pStyle w:val="Body-Black"/>
        <w:rPr>
          <w:u w:val="single"/>
          <w:lang w:val="en-US"/>
        </w:rPr>
      </w:pPr>
      <w:r w:rsidRPr="003504A8">
        <w:rPr>
          <w:u w:val="single"/>
          <w:lang w:val="en-US"/>
        </w:rPr>
        <w:t>Obstacle Limitation Surface</w:t>
      </w:r>
    </w:p>
    <w:p w14:paraId="38AFE762" w14:textId="77777777" w:rsidR="0030431B" w:rsidRPr="00A257C7" w:rsidRDefault="0030431B" w:rsidP="00A257C7">
      <w:pPr>
        <w:pStyle w:val="Body-Black"/>
        <w:rPr>
          <w:lang w:val="en-US"/>
        </w:rPr>
      </w:pPr>
      <w:r w:rsidRPr="00A257C7">
        <w:rPr>
          <w:lang w:val="en-US"/>
        </w:rPr>
        <w:t>Under OLS, buildings are constrained by height limits which slope up from 76m Australian Height Datum (AHD) at the north-eastern corner to around 108m AHD at the western edge of the site.</w:t>
      </w:r>
    </w:p>
    <w:p w14:paraId="4F4C5A97" w14:textId="77777777" w:rsidR="0030431B" w:rsidRPr="00A257C7" w:rsidRDefault="0030431B" w:rsidP="00A257C7">
      <w:pPr>
        <w:pStyle w:val="Body-Black"/>
        <w:rPr>
          <w:lang w:val="en-US"/>
        </w:rPr>
      </w:pPr>
      <w:r w:rsidRPr="00A257C7">
        <w:rPr>
          <w:lang w:val="en-US"/>
        </w:rPr>
        <w:t xml:space="preserve">Any of the buildings in the site, as well as cranes used from construction, where their maximum heights would penetrate the relevant OLS height constraint overhead would need to be included in ‘airspace height’ applications under the Airports Regulations, for consideration and explicit approval prior to construction. This would not be required until submission of Development Applications at the earliest. </w:t>
      </w:r>
    </w:p>
    <w:p w14:paraId="3F3C3157" w14:textId="77777777" w:rsidR="0030431B" w:rsidRPr="00A257C7" w:rsidRDefault="0030431B" w:rsidP="00A257C7">
      <w:pPr>
        <w:pStyle w:val="Body-Black"/>
        <w:rPr>
          <w:lang w:val="en-US"/>
        </w:rPr>
      </w:pPr>
      <w:r w:rsidRPr="00A257C7">
        <w:rPr>
          <w:lang w:val="en-US"/>
        </w:rPr>
        <w:t xml:space="preserve">Proposed buildings within the maximum heights that would be lower than the relevant OLS height constraints do not need such ‘airspace height’ approvals. </w:t>
      </w:r>
    </w:p>
    <w:p w14:paraId="033DB252" w14:textId="352F9EF5" w:rsidR="0030431B" w:rsidRPr="00A257C7" w:rsidRDefault="00884F3F" w:rsidP="00A257C7">
      <w:pPr>
        <w:pStyle w:val="Body-Black"/>
        <w:rPr>
          <w:lang w:val="en-US"/>
        </w:rPr>
      </w:pPr>
      <w:r>
        <w:rPr>
          <w:lang w:val="en-US"/>
        </w:rPr>
        <w:t>F</w:t>
      </w:r>
      <w:r w:rsidR="0030431B" w:rsidRPr="00A257C7">
        <w:rPr>
          <w:lang w:val="en-US"/>
        </w:rPr>
        <w:t xml:space="preserve">igure </w:t>
      </w:r>
      <w:r>
        <w:rPr>
          <w:lang w:val="en-US"/>
        </w:rPr>
        <w:t>1</w:t>
      </w:r>
      <w:r w:rsidR="00FD1FDA">
        <w:rPr>
          <w:lang w:val="en-US"/>
        </w:rPr>
        <w:t>1</w:t>
      </w:r>
      <w:r>
        <w:rPr>
          <w:lang w:val="en-US"/>
        </w:rPr>
        <w:t xml:space="preserve"> </w:t>
      </w:r>
      <w:r w:rsidR="0030431B" w:rsidRPr="00A257C7">
        <w:rPr>
          <w:lang w:val="en-US"/>
        </w:rPr>
        <w:t xml:space="preserve">below depicts which building envelopes, based on the masterplan, would infringe the OLS Conical Surface. </w:t>
      </w:r>
    </w:p>
    <w:p w14:paraId="70EEB3DA" w14:textId="77777777" w:rsidR="0030431B" w:rsidRPr="00A257C7" w:rsidRDefault="0030431B" w:rsidP="00A257C7">
      <w:pPr>
        <w:pStyle w:val="Body-Black"/>
        <w:rPr>
          <w:lang w:val="en-US"/>
        </w:rPr>
      </w:pPr>
      <w:r w:rsidRPr="00A257C7">
        <w:rPr>
          <w:noProof/>
          <w:lang w:val="en-US"/>
        </w:rPr>
        <w:drawing>
          <wp:inline distT="0" distB="0" distL="0" distR="0" wp14:anchorId="725DE629" wp14:editId="24632166">
            <wp:extent cx="3836960" cy="2009775"/>
            <wp:effectExtent l="19050" t="19050" r="1143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3-31 at 2.03.14 pm.png"/>
                    <pic:cNvPicPr/>
                  </pic:nvPicPr>
                  <pic:blipFill rotWithShape="1">
                    <a:blip r:embed="rId28"/>
                    <a:srcRect t="9566"/>
                    <a:stretch/>
                  </pic:blipFill>
                  <pic:spPr bwMode="auto">
                    <a:xfrm>
                      <a:off x="0" y="0"/>
                      <a:ext cx="3910518" cy="2048304"/>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7697A7" w14:textId="24412683" w:rsidR="0030431B" w:rsidRPr="00A257C7" w:rsidRDefault="0030431B" w:rsidP="003504A8">
      <w:pPr>
        <w:pStyle w:val="Caption"/>
        <w:keepNext/>
        <w:spacing w:line="276" w:lineRule="auto"/>
      </w:pPr>
      <w:bookmarkStart w:id="56" w:name="_Toc37862351"/>
      <w:r w:rsidRPr="003504A8">
        <w:rPr>
          <w:b/>
          <w:bCs/>
        </w:rPr>
        <w:t xml:space="preserve">Figure </w:t>
      </w:r>
      <w:r w:rsidR="00884F3F">
        <w:rPr>
          <w:b/>
          <w:bCs/>
        </w:rPr>
        <w:t>1</w:t>
      </w:r>
      <w:r w:rsidR="00FD1FDA">
        <w:rPr>
          <w:b/>
          <w:bCs/>
        </w:rPr>
        <w:t>1</w:t>
      </w:r>
      <w:r w:rsidRPr="003504A8">
        <w:rPr>
          <w:b/>
          <w:bCs/>
        </w:rPr>
        <w:t>:</w:t>
      </w:r>
      <w:r w:rsidRPr="00A257C7">
        <w:t xml:space="preserve"> Envelopes which would infringe OLS Conical Surface (Source: Strategic Airspace)</w:t>
      </w:r>
      <w:bookmarkEnd w:id="56"/>
    </w:p>
    <w:p w14:paraId="30A4A9FA" w14:textId="58B7FCAC" w:rsidR="0030431B" w:rsidRPr="00A257C7" w:rsidRDefault="0030431B" w:rsidP="00A257C7">
      <w:pPr>
        <w:pStyle w:val="Body-Black"/>
        <w:rPr>
          <w:lang w:val="en-US"/>
        </w:rPr>
      </w:pPr>
      <w:r w:rsidRPr="00A257C7">
        <w:rPr>
          <w:lang w:val="en-US"/>
        </w:rPr>
        <w:t xml:space="preserve">Buildings that gain height approvals may be required to install and operate obstacle lights on either side and/or tops of the buildings, subject to recommendations made by the Civil Aviation Safety Authority (CASA) during their assessment of the height application. </w:t>
      </w:r>
    </w:p>
    <w:p w14:paraId="38199A29" w14:textId="77777777" w:rsidR="0030431B" w:rsidRPr="003504A8" w:rsidRDefault="0030431B" w:rsidP="00A257C7">
      <w:pPr>
        <w:pStyle w:val="Body-Black"/>
        <w:rPr>
          <w:u w:val="single"/>
          <w:lang w:val="en-US"/>
        </w:rPr>
      </w:pPr>
      <w:r w:rsidRPr="003504A8">
        <w:rPr>
          <w:u w:val="single"/>
          <w:lang w:val="en-US"/>
        </w:rPr>
        <w:t xml:space="preserve">PANS-OPS </w:t>
      </w:r>
    </w:p>
    <w:p w14:paraId="493BF587" w14:textId="77777777" w:rsidR="0030431B" w:rsidRPr="00A257C7" w:rsidRDefault="0030431B" w:rsidP="00A257C7">
      <w:pPr>
        <w:pStyle w:val="Body-Black"/>
        <w:rPr>
          <w:lang w:val="en-US"/>
        </w:rPr>
      </w:pPr>
      <w:r w:rsidRPr="00A257C7">
        <w:rPr>
          <w:lang w:val="en-US"/>
        </w:rPr>
        <w:t xml:space="preserve">Under PANS-OPS, buildings are ultimately constrained by the PANS-OPS circling surfaces, which include Circling Category B (eastern portion of site) with a surface height of 108.12m and Circling Category A (western portion of site) with a surface height of 136. </w:t>
      </w:r>
    </w:p>
    <w:p w14:paraId="1C4725B2" w14:textId="77777777" w:rsidR="0030431B" w:rsidRPr="00A257C7" w:rsidRDefault="0030431B" w:rsidP="00A257C7">
      <w:pPr>
        <w:pStyle w:val="Body-Black"/>
        <w:rPr>
          <w:lang w:val="en-US"/>
        </w:rPr>
      </w:pPr>
      <w:r w:rsidRPr="00A257C7">
        <w:rPr>
          <w:noProof/>
          <w:lang w:val="en-US"/>
        </w:rPr>
        <w:lastRenderedPageBreak/>
        <w:drawing>
          <wp:inline distT="0" distB="0" distL="0" distR="0" wp14:anchorId="7C8CCB8E" wp14:editId="406A0C1C">
            <wp:extent cx="4320000" cy="3019535"/>
            <wp:effectExtent l="12700" t="12700" r="10795"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3-31 at 2.03.14 pm.png"/>
                    <pic:cNvPicPr/>
                  </pic:nvPicPr>
                  <pic:blipFill>
                    <a:blip r:embed="rId29"/>
                    <a:stretch>
                      <a:fillRect/>
                    </a:stretch>
                  </pic:blipFill>
                  <pic:spPr>
                    <a:xfrm>
                      <a:off x="0" y="0"/>
                      <a:ext cx="4320000" cy="3019535"/>
                    </a:xfrm>
                    <a:prstGeom prst="rect">
                      <a:avLst/>
                    </a:prstGeom>
                    <a:ln>
                      <a:solidFill>
                        <a:schemeClr val="bg1">
                          <a:lumMod val="85000"/>
                        </a:schemeClr>
                      </a:solidFill>
                    </a:ln>
                  </pic:spPr>
                </pic:pic>
              </a:graphicData>
            </a:graphic>
          </wp:inline>
        </w:drawing>
      </w:r>
    </w:p>
    <w:p w14:paraId="707DD57C" w14:textId="306129A7" w:rsidR="0030431B" w:rsidRPr="00A257C7" w:rsidRDefault="0030431B" w:rsidP="00A97B7D">
      <w:pPr>
        <w:pStyle w:val="Caption"/>
        <w:keepNext/>
        <w:spacing w:line="276" w:lineRule="auto"/>
      </w:pPr>
      <w:bookmarkStart w:id="57" w:name="_Toc37862352"/>
      <w:r w:rsidRPr="00A97B7D">
        <w:rPr>
          <w:b/>
          <w:bCs/>
        </w:rPr>
        <w:t xml:space="preserve">Figure </w:t>
      </w:r>
      <w:r w:rsidR="00884F3F">
        <w:rPr>
          <w:b/>
          <w:bCs/>
        </w:rPr>
        <w:t>1</w:t>
      </w:r>
      <w:r w:rsidR="00FD1FDA">
        <w:rPr>
          <w:b/>
          <w:bCs/>
        </w:rPr>
        <w:t>2</w:t>
      </w:r>
      <w:r w:rsidRPr="00A97B7D">
        <w:rPr>
          <w:b/>
          <w:bCs/>
        </w:rPr>
        <w:t>:</w:t>
      </w:r>
      <w:r w:rsidRPr="00A257C7">
        <w:t xml:space="preserve"> PANS-OPS Category B and C Constraining Surfaces (Source: Strategic Airspace)</w:t>
      </w:r>
      <w:bookmarkEnd w:id="57"/>
    </w:p>
    <w:p w14:paraId="2673DC40" w14:textId="6651D6A7" w:rsidR="0030431B" w:rsidRPr="00A257C7" w:rsidRDefault="0030431B" w:rsidP="00A257C7">
      <w:pPr>
        <w:pStyle w:val="Body-Black"/>
        <w:rPr>
          <w:lang w:val="en-US"/>
        </w:rPr>
      </w:pPr>
      <w:r w:rsidRPr="00A257C7">
        <w:rPr>
          <w:lang w:val="en-US"/>
        </w:rPr>
        <w:t xml:space="preserve">None of the proposed buildings in the masterplan would penetrate the limiting PANS—OPS surfaces shown in Bankstown Airport’s prescribed airspace in accordance with </w:t>
      </w:r>
      <w:r w:rsidR="00884F3F">
        <w:rPr>
          <w:lang w:val="en-US"/>
        </w:rPr>
        <w:t>Fi</w:t>
      </w:r>
      <w:r w:rsidRPr="00A257C7">
        <w:rPr>
          <w:lang w:val="en-US"/>
        </w:rPr>
        <w:t xml:space="preserve">gure </w:t>
      </w:r>
      <w:r w:rsidR="00884F3F">
        <w:rPr>
          <w:lang w:val="en-US"/>
        </w:rPr>
        <w:t>1</w:t>
      </w:r>
      <w:r w:rsidR="00FD1FDA">
        <w:rPr>
          <w:lang w:val="en-US"/>
        </w:rPr>
        <w:t>2</w:t>
      </w:r>
      <w:r w:rsidR="00884F3F">
        <w:rPr>
          <w:lang w:val="en-US"/>
        </w:rPr>
        <w:t xml:space="preserve"> </w:t>
      </w:r>
      <w:r w:rsidRPr="00A257C7">
        <w:rPr>
          <w:lang w:val="en-US"/>
        </w:rPr>
        <w:t xml:space="preserve">above. Therefore, all buildings are considered approvable under the Airports Regulations. </w:t>
      </w:r>
    </w:p>
    <w:p w14:paraId="45D553CC" w14:textId="77777777" w:rsidR="0030431B" w:rsidRPr="00A97B7D" w:rsidRDefault="0030431B" w:rsidP="00A257C7">
      <w:pPr>
        <w:pStyle w:val="Body-Black"/>
        <w:rPr>
          <w:u w:val="single"/>
          <w:lang w:val="en-US"/>
        </w:rPr>
      </w:pPr>
      <w:r w:rsidRPr="00A97B7D">
        <w:rPr>
          <w:u w:val="single"/>
          <w:lang w:val="en-US"/>
        </w:rPr>
        <w:t>Conclusion</w:t>
      </w:r>
    </w:p>
    <w:p w14:paraId="23FC9D11" w14:textId="77777777" w:rsidR="0030431B" w:rsidRPr="00A257C7" w:rsidRDefault="0030431B" w:rsidP="00A257C7">
      <w:pPr>
        <w:pStyle w:val="Body-Black"/>
        <w:rPr>
          <w:lang w:val="en-US"/>
        </w:rPr>
      </w:pPr>
      <w:r w:rsidRPr="00A257C7">
        <w:rPr>
          <w:lang w:val="en-US"/>
        </w:rPr>
        <w:t xml:space="preserve">Strategic Airspace conclude that there is no technical impediment to the approval of the proposed development envisaged in the Planning Proposal. It is considered that any future applications for buildings in the masterplan, under the Airports Regulations, supported by a full aeronautical assessment and safety case could be approved by the Department of Infrastructure, Transport, Regional Development and Communications. </w:t>
      </w:r>
    </w:p>
    <w:p w14:paraId="2D22547E" w14:textId="77777777" w:rsidR="0030431B" w:rsidRPr="00A257C7" w:rsidRDefault="0030431B" w:rsidP="00A257C7">
      <w:pPr>
        <w:pStyle w:val="Body-Black"/>
        <w:rPr>
          <w:lang w:val="en-US"/>
        </w:rPr>
      </w:pPr>
      <w:bookmarkStart w:id="58" w:name="_Toc36204393"/>
      <w:bookmarkStart w:id="59" w:name="_Toc36636092"/>
      <w:bookmarkStart w:id="60" w:name="_Toc36648206"/>
      <w:bookmarkStart w:id="61" w:name="_Toc37774613"/>
      <w:r w:rsidRPr="00A97B7D">
        <w:rPr>
          <w:b/>
          <w:bCs/>
          <w:lang w:val="en-US"/>
        </w:rPr>
        <w:t>Flooding</w:t>
      </w:r>
      <w:bookmarkEnd w:id="54"/>
      <w:bookmarkEnd w:id="55"/>
      <w:bookmarkEnd w:id="58"/>
      <w:bookmarkEnd w:id="59"/>
      <w:bookmarkEnd w:id="60"/>
      <w:bookmarkEnd w:id="61"/>
    </w:p>
    <w:p w14:paraId="19102BE9" w14:textId="6066BBB9" w:rsidR="0030431B" w:rsidRPr="00A257C7" w:rsidRDefault="0030431B" w:rsidP="00A257C7">
      <w:pPr>
        <w:pStyle w:val="Body-Black"/>
        <w:rPr>
          <w:lang w:val="en-US"/>
        </w:rPr>
      </w:pPr>
      <w:r w:rsidRPr="00A257C7">
        <w:rPr>
          <w:lang w:val="en-US"/>
        </w:rPr>
        <w:t>A Flood Report has been prepared by J. Wyndham Prince in support of the Planning Proposal.</w:t>
      </w:r>
    </w:p>
    <w:p w14:paraId="1C713DB9" w14:textId="77777777" w:rsidR="0030431B" w:rsidRPr="00A257C7" w:rsidRDefault="0030431B" w:rsidP="00A257C7">
      <w:pPr>
        <w:pStyle w:val="Body-Black"/>
        <w:rPr>
          <w:lang w:val="en-US"/>
        </w:rPr>
      </w:pPr>
      <w:r w:rsidRPr="00A257C7">
        <w:rPr>
          <w:lang w:val="en-US"/>
        </w:rPr>
        <w:t>The study details the procedures used and presents the results of the flood impact assessment in support of the site’s redevelopment. It also has developed a flood evacuation strategy to inform the planning process. Key findings of the report are summarised below.</w:t>
      </w:r>
    </w:p>
    <w:p w14:paraId="3F599EE6" w14:textId="77777777" w:rsidR="0030431B" w:rsidRPr="00F85480" w:rsidRDefault="0030431B" w:rsidP="00A257C7">
      <w:pPr>
        <w:pStyle w:val="Body-Black"/>
        <w:rPr>
          <w:u w:val="single"/>
          <w:lang w:val="en-US"/>
        </w:rPr>
      </w:pPr>
      <w:r w:rsidRPr="00F85480">
        <w:rPr>
          <w:u w:val="single"/>
          <w:lang w:val="en-US"/>
        </w:rPr>
        <w:t>Flood Management</w:t>
      </w:r>
    </w:p>
    <w:p w14:paraId="6C31BC56" w14:textId="77777777" w:rsidR="0030431B" w:rsidRPr="00A257C7" w:rsidRDefault="0030431B" w:rsidP="00A257C7">
      <w:pPr>
        <w:pStyle w:val="Body-Black"/>
        <w:rPr>
          <w:lang w:val="en-US"/>
        </w:rPr>
      </w:pPr>
      <w:r w:rsidRPr="00A257C7">
        <w:rPr>
          <w:lang w:val="en-US"/>
        </w:rPr>
        <w:t xml:space="preserve">The current floodplain storage during the 1% AEP event has considered the proposed development landform and regional floodplain reclamation strategy. The proposed implementation of the two flood storages and on the banks on the Georges River adjacent to the western motorway will result in an increase in the available floodplain storage by 31,930m3. </w:t>
      </w:r>
    </w:p>
    <w:p w14:paraId="4B1326D4" w14:textId="77777777" w:rsidR="0030431B" w:rsidRPr="00A257C7" w:rsidRDefault="0030431B" w:rsidP="00A257C7">
      <w:pPr>
        <w:pStyle w:val="Body-Black"/>
        <w:rPr>
          <w:lang w:val="en-US"/>
        </w:rPr>
      </w:pPr>
      <w:r w:rsidRPr="00A257C7">
        <w:rPr>
          <w:lang w:val="en-US"/>
        </w:rPr>
        <w:t xml:space="preserve">The detailed flood assessment completed for the strategy has demonstrated that, with the site, peak flood levels in surrounding properties and within the Georges River will not increase as compared to existing conditions in the catchment in the 1% AEP events. Importantly, provision of the proposed flood levels to </w:t>
      </w:r>
      <w:r w:rsidRPr="00A257C7">
        <w:rPr>
          <w:lang w:val="en-US"/>
        </w:rPr>
        <w:lastRenderedPageBreak/>
        <w:t>the south of Newbridge Road will also reduce the extent of flooding within the Moorebank area, which is therefore considered to be an improvement upon existing conditions.</w:t>
      </w:r>
    </w:p>
    <w:p w14:paraId="38C568F6" w14:textId="77777777" w:rsidR="0030431B" w:rsidRPr="00F85480" w:rsidRDefault="0030431B" w:rsidP="00A257C7">
      <w:pPr>
        <w:pStyle w:val="Body-Black"/>
        <w:rPr>
          <w:u w:val="single"/>
          <w:lang w:val="en-US"/>
        </w:rPr>
      </w:pPr>
      <w:r w:rsidRPr="00F85480">
        <w:rPr>
          <w:u w:val="single"/>
          <w:lang w:val="en-US"/>
        </w:rPr>
        <w:t>Water Quantity Management</w:t>
      </w:r>
    </w:p>
    <w:p w14:paraId="085865F6" w14:textId="77777777" w:rsidR="0030431B" w:rsidRPr="00A257C7" w:rsidRDefault="0030431B" w:rsidP="00A257C7">
      <w:pPr>
        <w:pStyle w:val="Body-Black"/>
        <w:rPr>
          <w:lang w:val="en-US"/>
        </w:rPr>
      </w:pPr>
      <w:r w:rsidRPr="00A257C7">
        <w:rPr>
          <w:lang w:val="en-US"/>
        </w:rPr>
        <w:t xml:space="preserve">Peak flow results determined as part of the hydrologic modelling demonstrates the site provides only 0.1% of the total peak flow in the Georges River and therefore, any changes to the characteristics of the site as a result of the Planning Proposal development outcomes will unlikely impact the flow regime of the Georges River. </w:t>
      </w:r>
    </w:p>
    <w:p w14:paraId="424C3182" w14:textId="77777777" w:rsidR="0030431B" w:rsidRPr="00A257C7" w:rsidRDefault="0030431B" w:rsidP="00A257C7">
      <w:pPr>
        <w:pStyle w:val="Body-Black"/>
        <w:rPr>
          <w:lang w:val="en-US"/>
        </w:rPr>
      </w:pPr>
      <w:r w:rsidRPr="00A257C7">
        <w:rPr>
          <w:lang w:val="en-US"/>
        </w:rPr>
        <w:t xml:space="preserve">Therefore, on-site detention is not considered necessary for the Planning Proposal’s development outcomes. Further assessments will be undertaken to confirm that detention is not required as part of the Development Application process. </w:t>
      </w:r>
    </w:p>
    <w:p w14:paraId="00142956" w14:textId="77777777" w:rsidR="0030431B" w:rsidRPr="00F85480" w:rsidRDefault="0030431B" w:rsidP="00A257C7">
      <w:pPr>
        <w:pStyle w:val="Body-Black"/>
        <w:rPr>
          <w:b/>
          <w:bCs/>
          <w:lang w:val="en-US"/>
        </w:rPr>
      </w:pPr>
      <w:r w:rsidRPr="00F85480">
        <w:rPr>
          <w:b/>
          <w:bCs/>
          <w:lang w:val="en-US"/>
        </w:rPr>
        <w:t>Flood Evacuation</w:t>
      </w:r>
    </w:p>
    <w:p w14:paraId="20828B4E" w14:textId="77777777" w:rsidR="0030431B" w:rsidRPr="00A257C7" w:rsidRDefault="0030431B" w:rsidP="00A257C7">
      <w:pPr>
        <w:pStyle w:val="Body-Black"/>
        <w:rPr>
          <w:lang w:val="en-US"/>
        </w:rPr>
      </w:pPr>
      <w:r w:rsidRPr="00A257C7">
        <w:rPr>
          <w:lang w:val="en-US"/>
        </w:rPr>
        <w:t xml:space="preserve">Flood evacuation routes are identified to ensure a ‘continuous rising grade’ can be maintained to a level above the PMF for all evacuees, with connections to Newbridge Road to the south of the site. In addition, the use of the proposed pedestrian bridges connecting the site to Liverpool CBD will be provide additional early flood evacuation options during a PMF event. </w:t>
      </w:r>
    </w:p>
    <w:p w14:paraId="4B26F89E" w14:textId="77777777" w:rsidR="0030431B" w:rsidRPr="00A257C7" w:rsidRDefault="0030431B" w:rsidP="00A257C7">
      <w:pPr>
        <w:pStyle w:val="Body-Black"/>
        <w:rPr>
          <w:lang w:val="en-US"/>
        </w:rPr>
      </w:pPr>
      <w:r w:rsidRPr="00A257C7">
        <w:rPr>
          <w:lang w:val="en-US"/>
        </w:rPr>
        <w:t>The proposed Flood Management Strategy for the site provides a basis for detailed design and development of Moore Point to ensure that environmental, urban amenity, engineering and economic objectives from stormwater management are achieved.</w:t>
      </w:r>
    </w:p>
    <w:p w14:paraId="311C9F3D" w14:textId="77777777" w:rsidR="0030431B" w:rsidRPr="00F85480" w:rsidRDefault="0030431B" w:rsidP="00A257C7">
      <w:pPr>
        <w:pStyle w:val="Body-Black"/>
        <w:rPr>
          <w:b/>
          <w:bCs/>
          <w:lang w:val="en-US"/>
        </w:rPr>
      </w:pPr>
      <w:bookmarkStart w:id="62" w:name="_Toc36204394"/>
      <w:bookmarkStart w:id="63" w:name="_Toc36636093"/>
      <w:bookmarkStart w:id="64" w:name="_Toc36648207"/>
      <w:bookmarkStart w:id="65" w:name="_Toc37774614"/>
      <w:r w:rsidRPr="00F85480">
        <w:rPr>
          <w:b/>
          <w:bCs/>
          <w:lang w:val="en-US"/>
        </w:rPr>
        <w:t>Riparian</w:t>
      </w:r>
      <w:bookmarkEnd w:id="62"/>
      <w:bookmarkEnd w:id="63"/>
      <w:bookmarkEnd w:id="64"/>
      <w:bookmarkEnd w:id="65"/>
    </w:p>
    <w:p w14:paraId="3215B8D5" w14:textId="7898E9E3" w:rsidR="0030431B" w:rsidRPr="00A257C7" w:rsidRDefault="0030431B" w:rsidP="00A257C7">
      <w:pPr>
        <w:pStyle w:val="Body-Black"/>
        <w:rPr>
          <w:lang w:val="en-US"/>
        </w:rPr>
      </w:pPr>
      <w:r w:rsidRPr="00A257C7">
        <w:rPr>
          <w:lang w:val="en-US"/>
        </w:rPr>
        <w:t>A Riparian Strategy has been prepared by Northrop in support of the Planning Proposal.</w:t>
      </w:r>
    </w:p>
    <w:p w14:paraId="06609CC6" w14:textId="77777777" w:rsidR="0030431B" w:rsidRPr="00A257C7" w:rsidRDefault="0030431B" w:rsidP="00A257C7">
      <w:pPr>
        <w:pStyle w:val="Body-Black"/>
        <w:rPr>
          <w:lang w:val="en-US"/>
        </w:rPr>
      </w:pPr>
      <w:r w:rsidRPr="00A257C7">
        <w:rPr>
          <w:lang w:val="en-US"/>
        </w:rPr>
        <w:t>The study provides a qualitative assessment of the proposed development in relation to the protection of the riparian corridor zones. Key findings of the report are summarised below.</w:t>
      </w:r>
    </w:p>
    <w:p w14:paraId="436AFFCB" w14:textId="77777777" w:rsidR="0030431B" w:rsidRPr="00F85480" w:rsidRDefault="0030431B" w:rsidP="00A257C7">
      <w:pPr>
        <w:pStyle w:val="Body-Black"/>
        <w:rPr>
          <w:u w:val="single"/>
          <w:lang w:val="en-US"/>
        </w:rPr>
      </w:pPr>
      <w:bookmarkStart w:id="66" w:name="_Toc36204395"/>
      <w:bookmarkStart w:id="67" w:name="_Toc36636094"/>
      <w:bookmarkStart w:id="68" w:name="_Toc36648208"/>
      <w:bookmarkStart w:id="69" w:name="_Toc37774615"/>
      <w:r w:rsidRPr="00F85480">
        <w:rPr>
          <w:u w:val="single"/>
          <w:lang w:val="en-US"/>
        </w:rPr>
        <w:t>Findings</w:t>
      </w:r>
      <w:bookmarkEnd w:id="66"/>
      <w:bookmarkEnd w:id="67"/>
      <w:bookmarkEnd w:id="68"/>
      <w:bookmarkEnd w:id="69"/>
    </w:p>
    <w:p w14:paraId="7AE3DA7F" w14:textId="77777777" w:rsidR="0030431B" w:rsidRPr="00A257C7" w:rsidRDefault="0030431B" w:rsidP="00A257C7">
      <w:pPr>
        <w:pStyle w:val="Body-Black"/>
        <w:rPr>
          <w:lang w:val="en-US"/>
        </w:rPr>
      </w:pPr>
      <w:r w:rsidRPr="00A257C7">
        <w:rPr>
          <w:lang w:val="en-US"/>
        </w:rPr>
        <w:t>For most of the site, the riparian corridor will contain three structured zones, i.e. Riverbank, Inner Vegetation Riparian Zone (VRZ) and Outer VRZ, which is consistent with the NRAR Riparian Guideline. However, the creation of the Georges River foreshore park as envisioned does not conform to the Guideline. Therefore, a merit-based approach to assess this strategy for the entire site is proposed, which relies on offsetting for an overall improved environmental outcome:</w:t>
      </w:r>
    </w:p>
    <w:p w14:paraId="12422C7B" w14:textId="77777777" w:rsidR="0030431B" w:rsidRPr="00A257C7" w:rsidRDefault="0030431B" w:rsidP="00A257C7">
      <w:pPr>
        <w:pStyle w:val="Body-Black"/>
        <w:rPr>
          <w:lang w:val="en-US"/>
        </w:rPr>
      </w:pPr>
      <w:r w:rsidRPr="00A257C7">
        <w:rPr>
          <w:lang w:val="en-US"/>
        </w:rPr>
        <w:t>Development encroachment into outer VRZ reduced by 6,765m2;</w:t>
      </w:r>
    </w:p>
    <w:p w14:paraId="0FB1255B" w14:textId="77777777" w:rsidR="0030431B" w:rsidRPr="00A257C7" w:rsidRDefault="0030431B" w:rsidP="00A257C7">
      <w:pPr>
        <w:pStyle w:val="Body-Black"/>
        <w:rPr>
          <w:lang w:val="en-US"/>
        </w:rPr>
      </w:pPr>
      <w:r w:rsidRPr="00A257C7">
        <w:rPr>
          <w:lang w:val="en-US"/>
        </w:rPr>
        <w:t>Development encroachment into Inner VRZ reduced by 1,393m2, with total proposed encroachment of only 24m2;</w:t>
      </w:r>
    </w:p>
    <w:p w14:paraId="19F2D027" w14:textId="77777777" w:rsidR="0030431B" w:rsidRPr="00A257C7" w:rsidRDefault="0030431B" w:rsidP="00A257C7">
      <w:pPr>
        <w:pStyle w:val="Body-Black"/>
        <w:rPr>
          <w:lang w:val="en-US"/>
        </w:rPr>
      </w:pPr>
      <w:r w:rsidRPr="00A257C7">
        <w:rPr>
          <w:lang w:val="en-US"/>
        </w:rPr>
        <w:t xml:space="preserve">Typically, where there is no native vegetation present in the riparian corridor currently, it will be provided as revegetation representing the ecologically significant communities present around the site. Areas adjoining the Outer CRZ and interfacing with the development will also be revegetated and landscaped in the same manner. This includes offsetting; </w:t>
      </w:r>
    </w:p>
    <w:p w14:paraId="13283592" w14:textId="77777777" w:rsidR="0030431B" w:rsidRPr="00A257C7" w:rsidRDefault="0030431B" w:rsidP="00A257C7">
      <w:pPr>
        <w:pStyle w:val="Body-Black"/>
        <w:rPr>
          <w:lang w:val="en-US"/>
        </w:rPr>
      </w:pPr>
      <w:r w:rsidRPr="00A257C7">
        <w:rPr>
          <w:lang w:val="en-US"/>
        </w:rPr>
        <w:t xml:space="preserve">The Riverfront zone on the western bank of the site will be variously landscaped. Some of this will be native vegetation and a total of 20% of this area will be dedicated to natives, which counts as offsetting; </w:t>
      </w:r>
    </w:p>
    <w:p w14:paraId="089BEDDF" w14:textId="77777777" w:rsidR="0030431B" w:rsidRPr="00A257C7" w:rsidRDefault="0030431B" w:rsidP="00A257C7">
      <w:pPr>
        <w:pStyle w:val="Body-Black"/>
        <w:rPr>
          <w:lang w:val="en-US"/>
        </w:rPr>
      </w:pPr>
      <w:r w:rsidRPr="00A257C7">
        <w:rPr>
          <w:lang w:val="en-US"/>
        </w:rPr>
        <w:lastRenderedPageBreak/>
        <w:t>As a result, the total amount of revegetated Outer VRZ created compared to the lost is 31,847m2 vs 776m2; and</w:t>
      </w:r>
    </w:p>
    <w:p w14:paraId="61013098" w14:textId="32C7CEDF" w:rsidR="0030431B" w:rsidRDefault="0030431B" w:rsidP="00A257C7">
      <w:pPr>
        <w:pStyle w:val="Body-Black"/>
        <w:rPr>
          <w:lang w:val="en-US"/>
        </w:rPr>
      </w:pPr>
      <w:r w:rsidRPr="00A257C7">
        <w:rPr>
          <w:lang w:val="en-US"/>
        </w:rPr>
        <w:t>The total amount of revegetated Inner CRZ and Riverbank created compared to that lost is 16,491m2 vs 5,538m2.</w:t>
      </w:r>
    </w:p>
    <w:p w14:paraId="05B213FC" w14:textId="77777777" w:rsidR="0030431B" w:rsidRPr="00D4456A" w:rsidRDefault="0030431B" w:rsidP="00A257C7">
      <w:pPr>
        <w:pStyle w:val="Body-Black"/>
        <w:rPr>
          <w:u w:val="single"/>
          <w:lang w:val="en-US"/>
        </w:rPr>
      </w:pPr>
      <w:bookmarkStart w:id="70" w:name="_Toc36204396"/>
      <w:bookmarkStart w:id="71" w:name="_Toc36636095"/>
      <w:bookmarkStart w:id="72" w:name="_Toc36648209"/>
      <w:bookmarkStart w:id="73" w:name="_Toc37774616"/>
      <w:r w:rsidRPr="00D4456A">
        <w:rPr>
          <w:u w:val="single"/>
          <w:lang w:val="en-US"/>
        </w:rPr>
        <w:t>Conclusion</w:t>
      </w:r>
      <w:bookmarkEnd w:id="70"/>
      <w:bookmarkEnd w:id="71"/>
      <w:bookmarkEnd w:id="72"/>
      <w:bookmarkEnd w:id="73"/>
    </w:p>
    <w:p w14:paraId="1BB55914" w14:textId="7213AE7A" w:rsidR="0030431B" w:rsidRPr="00A257C7" w:rsidRDefault="0030431B" w:rsidP="00A257C7">
      <w:pPr>
        <w:pStyle w:val="Body-Black"/>
        <w:rPr>
          <w:lang w:val="en-US"/>
        </w:rPr>
      </w:pPr>
      <w:r w:rsidRPr="00A257C7">
        <w:rPr>
          <w:lang w:val="en-US"/>
        </w:rPr>
        <w:t>Northrop conclude that the outcomes presented above provide a significant environmental improvement for the site and Lake Moore. The approach has a sound rationale, which justifies a merit-based assessment on this basis. It is proposed that the Placemaking Working Group will further shape and determine the riparian outcomes to achieve the vision for the precinct.</w:t>
      </w:r>
    </w:p>
    <w:p w14:paraId="17272664" w14:textId="77777777" w:rsidR="0030431B" w:rsidRPr="00D4456A" w:rsidRDefault="0030431B" w:rsidP="00A257C7">
      <w:pPr>
        <w:pStyle w:val="Body-Black"/>
        <w:rPr>
          <w:b/>
          <w:bCs/>
          <w:lang w:val="en-US"/>
        </w:rPr>
      </w:pPr>
      <w:bookmarkStart w:id="74" w:name="_Toc36204397"/>
      <w:bookmarkStart w:id="75" w:name="_Toc36636096"/>
      <w:bookmarkStart w:id="76" w:name="_Toc36648210"/>
      <w:bookmarkStart w:id="77" w:name="_Toc37774617"/>
      <w:r w:rsidRPr="00D4456A">
        <w:rPr>
          <w:b/>
          <w:bCs/>
          <w:lang w:val="en-US"/>
        </w:rPr>
        <w:t>Air Quality</w:t>
      </w:r>
      <w:bookmarkEnd w:id="74"/>
      <w:bookmarkEnd w:id="75"/>
      <w:bookmarkEnd w:id="76"/>
      <w:bookmarkEnd w:id="77"/>
    </w:p>
    <w:p w14:paraId="53F880CD" w14:textId="425D4DB2" w:rsidR="0030431B" w:rsidRPr="00A257C7" w:rsidRDefault="0030431B" w:rsidP="00A257C7">
      <w:pPr>
        <w:pStyle w:val="Body-Black"/>
        <w:rPr>
          <w:lang w:val="en-US"/>
        </w:rPr>
      </w:pPr>
      <w:r w:rsidRPr="00A257C7">
        <w:rPr>
          <w:lang w:val="en-US"/>
        </w:rPr>
        <w:t>An Air Quality Suitability Study has been prepared by Todoroski Air Sciences in support of the Planning Proposal.</w:t>
      </w:r>
    </w:p>
    <w:p w14:paraId="7F721455" w14:textId="77777777" w:rsidR="0030431B" w:rsidRPr="00A257C7" w:rsidRDefault="0030431B" w:rsidP="00A257C7">
      <w:pPr>
        <w:pStyle w:val="Body-Black"/>
        <w:rPr>
          <w:lang w:val="en-US"/>
        </w:rPr>
      </w:pPr>
      <w:r w:rsidRPr="00A257C7">
        <w:rPr>
          <w:lang w:val="en-US"/>
        </w:rPr>
        <w:t>The study provides a qualitative assessment of any likely constraints on air quality relating to the development of the site. Key findings of the report are summarised below.</w:t>
      </w:r>
    </w:p>
    <w:p w14:paraId="5682F53E" w14:textId="77777777" w:rsidR="0030431B" w:rsidRPr="00D4456A" w:rsidRDefault="0030431B" w:rsidP="00A257C7">
      <w:pPr>
        <w:pStyle w:val="Body-Black"/>
        <w:rPr>
          <w:u w:val="single"/>
          <w:lang w:val="en-US"/>
        </w:rPr>
      </w:pPr>
      <w:r w:rsidRPr="00D4456A">
        <w:rPr>
          <w:u w:val="single"/>
          <w:lang w:val="en-US"/>
        </w:rPr>
        <w:t>Findings</w:t>
      </w:r>
    </w:p>
    <w:p w14:paraId="790728CE" w14:textId="77777777" w:rsidR="0030431B" w:rsidRPr="00A257C7" w:rsidRDefault="0030431B" w:rsidP="00A257C7">
      <w:pPr>
        <w:pStyle w:val="Body-Black"/>
        <w:rPr>
          <w:lang w:val="en-US"/>
        </w:rPr>
      </w:pPr>
      <w:r w:rsidRPr="00A257C7">
        <w:rPr>
          <w:lang w:val="en-US"/>
        </w:rPr>
        <w:t xml:space="preserve">The key potential source of air quality impact on the site is the existing water treatment facility on the opposite side of the Georges River along the northern boundary. However, the closest potential sources of odour are located 400m from the nearest proposed new receptors and are generally downwind of the proposal </w:t>
      </w:r>
    </w:p>
    <w:p w14:paraId="22B56C83" w14:textId="77777777" w:rsidR="0030431B" w:rsidRPr="00A257C7" w:rsidRDefault="0030431B" w:rsidP="00A257C7">
      <w:pPr>
        <w:pStyle w:val="Body-Black"/>
        <w:rPr>
          <w:lang w:val="en-US"/>
        </w:rPr>
      </w:pPr>
      <w:r w:rsidRPr="00A257C7">
        <w:rPr>
          <w:lang w:val="en-US"/>
        </w:rPr>
        <w:t xml:space="preserve">There are existing receptors that are closer to and also generally downwind of the water treatment facility, therefore significantly lower odour levels than at any existing receptor can be expected at the site. </w:t>
      </w:r>
    </w:p>
    <w:p w14:paraId="251092DE" w14:textId="77777777" w:rsidR="0030431B" w:rsidRPr="00A257C7" w:rsidRDefault="0030431B" w:rsidP="00A257C7">
      <w:pPr>
        <w:pStyle w:val="Body-Black"/>
        <w:rPr>
          <w:lang w:val="en-US"/>
        </w:rPr>
      </w:pPr>
      <w:r w:rsidRPr="00A257C7">
        <w:rPr>
          <w:lang w:val="en-US"/>
        </w:rPr>
        <w:t xml:space="preserve">There is only low potential for impacts from other existing facilities, as these industries are generally good distance away and are not on the prevailing wind axes to the site. </w:t>
      </w:r>
    </w:p>
    <w:p w14:paraId="07DF07BF" w14:textId="77777777" w:rsidR="0030431B" w:rsidRPr="00A257C7" w:rsidRDefault="0030431B" w:rsidP="00A257C7">
      <w:pPr>
        <w:pStyle w:val="Body-Black"/>
        <w:rPr>
          <w:lang w:val="en-US"/>
        </w:rPr>
      </w:pPr>
      <w:r w:rsidRPr="00A257C7">
        <w:rPr>
          <w:lang w:val="en-US"/>
        </w:rPr>
        <w:t xml:space="preserve">The site would replace existing industry with commercial and residential activities, and therefore it is reasonable to expect some reduction in existing pollutant levels. The residential dwellings also maintain an acceptable setback from existing major roads in terms of siting and height. </w:t>
      </w:r>
    </w:p>
    <w:p w14:paraId="1238ED9A" w14:textId="77777777" w:rsidR="0030431B" w:rsidRPr="00D4456A" w:rsidRDefault="0030431B" w:rsidP="00A257C7">
      <w:pPr>
        <w:pStyle w:val="Body-Black"/>
        <w:rPr>
          <w:u w:val="single"/>
          <w:lang w:val="en-US"/>
        </w:rPr>
      </w:pPr>
      <w:r w:rsidRPr="00D4456A">
        <w:rPr>
          <w:u w:val="single"/>
          <w:lang w:val="en-US"/>
        </w:rPr>
        <w:t>Conclusion</w:t>
      </w:r>
    </w:p>
    <w:p w14:paraId="2CFFDDCD" w14:textId="77777777" w:rsidR="0030431B" w:rsidRPr="00A257C7" w:rsidRDefault="0030431B" w:rsidP="00A257C7">
      <w:pPr>
        <w:pStyle w:val="Body-Black"/>
        <w:rPr>
          <w:lang w:val="en-US"/>
        </w:rPr>
      </w:pPr>
      <w:r w:rsidRPr="00A257C7">
        <w:rPr>
          <w:lang w:val="en-US"/>
        </w:rPr>
        <w:t xml:space="preserve">Todoroski Air Sciences conclude there is no reasonable indication of any likely air quality impacts that may prevent development at this location. It is anticipated a detailed study would be required as part of the Development Application process. </w:t>
      </w:r>
    </w:p>
    <w:p w14:paraId="6EECC56E" w14:textId="77777777" w:rsidR="0030431B" w:rsidRPr="00D4456A" w:rsidRDefault="0030431B" w:rsidP="00A257C7">
      <w:pPr>
        <w:pStyle w:val="Body-Black"/>
        <w:rPr>
          <w:b/>
          <w:bCs/>
          <w:lang w:val="en-US"/>
        </w:rPr>
      </w:pPr>
      <w:bookmarkStart w:id="78" w:name="_Toc9429835"/>
      <w:bookmarkStart w:id="79" w:name="_Toc9497477"/>
      <w:bookmarkStart w:id="80" w:name="_Toc36204399"/>
      <w:bookmarkStart w:id="81" w:name="_Toc36636098"/>
      <w:bookmarkStart w:id="82" w:name="_Toc36648212"/>
      <w:bookmarkStart w:id="83" w:name="_Toc37774618"/>
      <w:r w:rsidRPr="00D4456A">
        <w:rPr>
          <w:b/>
          <w:bCs/>
          <w:lang w:val="en-US"/>
        </w:rPr>
        <w:t>Contamination</w:t>
      </w:r>
      <w:bookmarkEnd w:id="78"/>
      <w:bookmarkEnd w:id="79"/>
      <w:bookmarkEnd w:id="80"/>
      <w:bookmarkEnd w:id="81"/>
      <w:bookmarkEnd w:id="82"/>
      <w:bookmarkEnd w:id="83"/>
    </w:p>
    <w:p w14:paraId="0C5F0380" w14:textId="44388388" w:rsidR="0030431B" w:rsidRPr="00A257C7" w:rsidRDefault="0030431B" w:rsidP="00A257C7">
      <w:pPr>
        <w:pStyle w:val="Body-Black"/>
        <w:rPr>
          <w:lang w:val="en-US"/>
        </w:rPr>
      </w:pPr>
      <w:r w:rsidRPr="00A257C7">
        <w:rPr>
          <w:lang w:val="en-US"/>
        </w:rPr>
        <w:t>A Contamination, Acid Sulfate Soils and Remedial Strategy has been prepared by EI Australia in support of the Planning Proposal.</w:t>
      </w:r>
    </w:p>
    <w:p w14:paraId="341606C3" w14:textId="77777777" w:rsidR="0030431B" w:rsidRPr="00A257C7" w:rsidRDefault="0030431B" w:rsidP="00A257C7">
      <w:pPr>
        <w:pStyle w:val="Body-Black"/>
        <w:rPr>
          <w:lang w:val="en-US"/>
        </w:rPr>
      </w:pPr>
      <w:r w:rsidRPr="00A257C7">
        <w:rPr>
          <w:lang w:val="en-US"/>
        </w:rPr>
        <w:t xml:space="preserve">The study provides an appreciation of how existing site contamination might affect potential land use changes that may be facilitated by the Planning Proposal. The report identifies areas within the site that are contaminated, or potentially subject to contamination to an extent that could impact on future land uses. </w:t>
      </w:r>
    </w:p>
    <w:p w14:paraId="4C0E48B2" w14:textId="77777777" w:rsidR="0030431B" w:rsidRPr="00A257C7" w:rsidRDefault="0030431B" w:rsidP="00A257C7">
      <w:pPr>
        <w:pStyle w:val="Body-Black"/>
        <w:rPr>
          <w:lang w:val="en-US"/>
        </w:rPr>
      </w:pPr>
      <w:r w:rsidRPr="00A257C7">
        <w:rPr>
          <w:lang w:val="en-US"/>
        </w:rPr>
        <w:lastRenderedPageBreak/>
        <w:t>For land identified as contaminated or potentially contaminated, remedial options and data gap enclosures were considered where necessary, to enable a feasible remediation strategy to be developed and make impacted areas suitable for their intended purpose. Key findings of the report are summarised below.</w:t>
      </w:r>
    </w:p>
    <w:p w14:paraId="5B07B70B" w14:textId="77777777" w:rsidR="0030431B" w:rsidRPr="00A257C7" w:rsidRDefault="0030431B" w:rsidP="00A257C7">
      <w:pPr>
        <w:pStyle w:val="Body-Black"/>
        <w:rPr>
          <w:lang w:val="en-US"/>
        </w:rPr>
      </w:pPr>
      <w:r w:rsidRPr="00A257C7">
        <w:rPr>
          <w:noProof/>
          <w:lang w:val="en-US"/>
        </w:rPr>
        <w:drawing>
          <wp:inline distT="0" distB="0" distL="0" distR="0" wp14:anchorId="3F5F5C06" wp14:editId="485A2174">
            <wp:extent cx="4320000" cy="2659892"/>
            <wp:effectExtent l="12700" t="12700" r="1079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3-17 at 2.55.33 pm.png"/>
                    <pic:cNvPicPr/>
                  </pic:nvPicPr>
                  <pic:blipFill>
                    <a:blip r:embed="rId30"/>
                    <a:stretch>
                      <a:fillRect/>
                    </a:stretch>
                  </pic:blipFill>
                  <pic:spPr>
                    <a:xfrm>
                      <a:off x="0" y="0"/>
                      <a:ext cx="4320000" cy="2659892"/>
                    </a:xfrm>
                    <a:prstGeom prst="rect">
                      <a:avLst/>
                    </a:prstGeom>
                    <a:ln>
                      <a:solidFill>
                        <a:schemeClr val="bg1">
                          <a:lumMod val="85000"/>
                        </a:schemeClr>
                      </a:solidFill>
                    </a:ln>
                  </pic:spPr>
                </pic:pic>
              </a:graphicData>
            </a:graphic>
          </wp:inline>
        </w:drawing>
      </w:r>
    </w:p>
    <w:p w14:paraId="52060DCB" w14:textId="38D3E91E" w:rsidR="0030431B" w:rsidRPr="00A257C7" w:rsidRDefault="0030431B" w:rsidP="00D4456A">
      <w:pPr>
        <w:pStyle w:val="Caption"/>
        <w:keepNext/>
        <w:spacing w:line="276" w:lineRule="auto"/>
      </w:pPr>
      <w:bookmarkStart w:id="84" w:name="_Toc37862353"/>
      <w:r w:rsidRPr="00D4456A">
        <w:rPr>
          <w:b/>
          <w:bCs/>
        </w:rPr>
        <w:t xml:space="preserve">Figure </w:t>
      </w:r>
      <w:r w:rsidR="00334458">
        <w:rPr>
          <w:b/>
          <w:bCs/>
        </w:rPr>
        <w:t>1</w:t>
      </w:r>
      <w:r w:rsidR="00FD1FDA">
        <w:rPr>
          <w:b/>
          <w:bCs/>
        </w:rPr>
        <w:t>3</w:t>
      </w:r>
      <w:r w:rsidRPr="00A257C7">
        <w:t>: Land Parcel Identification for Contamination (Source: EI Australia)</w:t>
      </w:r>
      <w:bookmarkEnd w:id="84"/>
    </w:p>
    <w:p w14:paraId="4D4BF4B2" w14:textId="77777777" w:rsidR="0030431B" w:rsidRPr="00D4456A" w:rsidRDefault="0030431B" w:rsidP="00A257C7">
      <w:pPr>
        <w:pStyle w:val="Body-Black"/>
        <w:rPr>
          <w:u w:val="single"/>
          <w:lang w:val="en-US"/>
        </w:rPr>
      </w:pPr>
      <w:r w:rsidRPr="00D4456A">
        <w:rPr>
          <w:u w:val="single"/>
          <w:lang w:val="en-US"/>
        </w:rPr>
        <w:t xml:space="preserve">Findings </w:t>
      </w:r>
    </w:p>
    <w:p w14:paraId="75F7233B" w14:textId="77777777" w:rsidR="0030431B" w:rsidRPr="00D4456A" w:rsidRDefault="0030431B" w:rsidP="00A257C7">
      <w:pPr>
        <w:pStyle w:val="Body-Black"/>
        <w:rPr>
          <w:i/>
          <w:iCs w:val="0"/>
          <w:lang w:val="en-US"/>
        </w:rPr>
      </w:pPr>
      <w:r w:rsidRPr="00D4456A">
        <w:rPr>
          <w:i/>
          <w:iCs w:val="0"/>
          <w:lang w:val="en-US"/>
        </w:rPr>
        <w:t xml:space="preserve">Potential Contamination Sources </w:t>
      </w:r>
    </w:p>
    <w:p w14:paraId="250F9515" w14:textId="77777777" w:rsidR="0030431B" w:rsidRPr="00A257C7" w:rsidRDefault="0030431B" w:rsidP="00A257C7">
      <w:pPr>
        <w:pStyle w:val="Body-Black"/>
        <w:rPr>
          <w:lang w:val="en-US"/>
        </w:rPr>
      </w:pPr>
      <w:r w:rsidRPr="00A257C7">
        <w:rPr>
          <w:lang w:val="en-US"/>
        </w:rPr>
        <w:t>Based on the reviewed site history and findings documented in the available environmental reports for selected sites, potential contamination sources for the site are summarised as follows:</w:t>
      </w:r>
    </w:p>
    <w:p w14:paraId="61D709D6" w14:textId="77777777" w:rsidR="0030431B" w:rsidRPr="00A257C7" w:rsidRDefault="0030431B" w:rsidP="00FC567E">
      <w:pPr>
        <w:pStyle w:val="Body-Black"/>
        <w:numPr>
          <w:ilvl w:val="0"/>
          <w:numId w:val="30"/>
        </w:numPr>
        <w:rPr>
          <w:lang w:val="en-US"/>
        </w:rPr>
      </w:pPr>
      <w:r w:rsidRPr="00A257C7">
        <w:rPr>
          <w:lang w:val="en-US"/>
        </w:rPr>
        <w:t>Imported fill soils of largely unknown origins used as backfill for relevelling various parts of the site;</w:t>
      </w:r>
    </w:p>
    <w:p w14:paraId="11A15453" w14:textId="77777777" w:rsidR="0030431B" w:rsidRPr="00A257C7" w:rsidRDefault="0030431B" w:rsidP="00FC567E">
      <w:pPr>
        <w:pStyle w:val="Body-Black"/>
        <w:numPr>
          <w:ilvl w:val="0"/>
          <w:numId w:val="30"/>
        </w:numPr>
        <w:rPr>
          <w:lang w:val="en-US"/>
        </w:rPr>
      </w:pPr>
      <w:r w:rsidRPr="00A257C7">
        <w:rPr>
          <w:lang w:val="en-US"/>
        </w:rPr>
        <w:t>Previous farming, market gardening and cultivation activities, which typically involved the application of chemicals for weed and pest control, fertilisers, petroleum hydrocarbon products used to power and maintain motorised farming equipment;</w:t>
      </w:r>
    </w:p>
    <w:p w14:paraId="752CB81C" w14:textId="77777777" w:rsidR="0030431B" w:rsidRPr="00A257C7" w:rsidRDefault="0030431B" w:rsidP="00FC567E">
      <w:pPr>
        <w:pStyle w:val="Body-Black"/>
        <w:numPr>
          <w:ilvl w:val="0"/>
          <w:numId w:val="30"/>
        </w:numPr>
        <w:rPr>
          <w:lang w:val="en-US"/>
        </w:rPr>
      </w:pPr>
      <w:r w:rsidRPr="00A257C7">
        <w:rPr>
          <w:lang w:val="en-US"/>
        </w:rPr>
        <w:t xml:space="preserve">The use of handling of paints and other chemicals, including volatile organic compounds (VCOs), during historical and current industrial activities involving manufacturing, chemical reacting, dispensing, treatment and production of liquid waste; </w:t>
      </w:r>
    </w:p>
    <w:p w14:paraId="4FA000B5" w14:textId="77777777" w:rsidR="0030431B" w:rsidRPr="00A257C7" w:rsidRDefault="0030431B" w:rsidP="00FC567E">
      <w:pPr>
        <w:pStyle w:val="Body-Black"/>
        <w:numPr>
          <w:ilvl w:val="0"/>
          <w:numId w:val="30"/>
        </w:numPr>
        <w:rPr>
          <w:lang w:val="en-US"/>
        </w:rPr>
      </w:pPr>
      <w:r w:rsidRPr="00A257C7">
        <w:rPr>
          <w:lang w:val="en-US"/>
        </w:rPr>
        <w:t>TCFM, leaked from an underground, concrete liquid waste tank located within the south western portion of Area B-east, which was reported to have migrated westwards to the adjacent property Area B-west at 3 Bridges Road;</w:t>
      </w:r>
    </w:p>
    <w:p w14:paraId="48480761" w14:textId="77777777" w:rsidR="0030431B" w:rsidRPr="00A257C7" w:rsidRDefault="0030431B" w:rsidP="00FC567E">
      <w:pPr>
        <w:pStyle w:val="Body-Black"/>
        <w:numPr>
          <w:ilvl w:val="0"/>
          <w:numId w:val="30"/>
        </w:numPr>
        <w:rPr>
          <w:lang w:val="en-US"/>
        </w:rPr>
      </w:pPr>
      <w:r w:rsidRPr="00A257C7">
        <w:rPr>
          <w:lang w:val="en-US"/>
        </w:rPr>
        <w:t>Multiple underground and above ground storage of petroleum fuels (i.e. UPSS and ASTs) particularly within areas B-west, B-east, M and O, some of which are still in use and/or remain in partially decommissioned condition; a</w:t>
      </w:r>
    </w:p>
    <w:p w14:paraId="0E4FF619" w14:textId="77777777" w:rsidR="0030431B" w:rsidRPr="00A257C7" w:rsidRDefault="0030431B" w:rsidP="00FC567E">
      <w:pPr>
        <w:pStyle w:val="Body-Black"/>
        <w:numPr>
          <w:ilvl w:val="0"/>
          <w:numId w:val="30"/>
        </w:numPr>
        <w:rPr>
          <w:lang w:val="en-US"/>
        </w:rPr>
      </w:pPr>
      <w:r w:rsidRPr="00A257C7">
        <w:rPr>
          <w:lang w:val="en-US"/>
        </w:rPr>
        <w:t xml:space="preserve">Deeper, natural soils and groundwater containing residual impacts from leaked hydrocarbons and other chemicals, representing potential secondary sources of contamination; </w:t>
      </w:r>
    </w:p>
    <w:p w14:paraId="2CA0D91A" w14:textId="77777777" w:rsidR="0030431B" w:rsidRPr="00A257C7" w:rsidRDefault="0030431B" w:rsidP="00FC567E">
      <w:pPr>
        <w:pStyle w:val="Body-Black"/>
        <w:numPr>
          <w:ilvl w:val="0"/>
          <w:numId w:val="30"/>
        </w:numPr>
        <w:rPr>
          <w:lang w:val="en-US"/>
        </w:rPr>
      </w:pPr>
      <w:r w:rsidRPr="00A257C7">
        <w:rPr>
          <w:lang w:val="en-US"/>
        </w:rPr>
        <w:t>Hazardous building materials, including ACM and lead-based paints; and</w:t>
      </w:r>
    </w:p>
    <w:p w14:paraId="31B580E1" w14:textId="77777777" w:rsidR="0030431B" w:rsidRPr="00A257C7" w:rsidRDefault="0030431B" w:rsidP="00FC567E">
      <w:pPr>
        <w:pStyle w:val="Body-Black"/>
        <w:numPr>
          <w:ilvl w:val="0"/>
          <w:numId w:val="30"/>
        </w:numPr>
        <w:rPr>
          <w:lang w:val="en-US"/>
        </w:rPr>
      </w:pPr>
      <w:r w:rsidRPr="00A257C7">
        <w:rPr>
          <w:lang w:val="en-US"/>
        </w:rPr>
        <w:lastRenderedPageBreak/>
        <w:t xml:space="preserve">Asbestos impacted soils.  </w:t>
      </w:r>
    </w:p>
    <w:p w14:paraId="1B1E07B0" w14:textId="77777777" w:rsidR="0030431B" w:rsidRPr="00D4456A" w:rsidRDefault="0030431B" w:rsidP="00A257C7">
      <w:pPr>
        <w:pStyle w:val="Body-Black"/>
        <w:rPr>
          <w:i/>
          <w:iCs w:val="0"/>
          <w:lang w:val="en-US"/>
        </w:rPr>
      </w:pPr>
      <w:r w:rsidRPr="00D4456A">
        <w:rPr>
          <w:i/>
          <w:iCs w:val="0"/>
          <w:lang w:val="en-US"/>
        </w:rPr>
        <w:t>Data Gap Closure Requirements</w:t>
      </w:r>
    </w:p>
    <w:p w14:paraId="6A19BD82" w14:textId="77777777" w:rsidR="0030431B" w:rsidRPr="00A257C7" w:rsidRDefault="0030431B" w:rsidP="00A257C7">
      <w:pPr>
        <w:pStyle w:val="Body-Black"/>
        <w:rPr>
          <w:lang w:val="en-US"/>
        </w:rPr>
      </w:pPr>
      <w:r w:rsidRPr="00A257C7">
        <w:rPr>
          <w:lang w:val="en-US"/>
        </w:rPr>
        <w:t>The report identifies the need to establish the environmental conditions for land parcels that have not yet been investigated or have been investigated to a limited extent. These include:</w:t>
      </w:r>
    </w:p>
    <w:p w14:paraId="78880482" w14:textId="77777777" w:rsidR="0030431B" w:rsidRPr="00A257C7" w:rsidRDefault="0030431B" w:rsidP="00FC567E">
      <w:pPr>
        <w:pStyle w:val="Body-Black"/>
        <w:numPr>
          <w:ilvl w:val="0"/>
          <w:numId w:val="31"/>
        </w:numPr>
        <w:rPr>
          <w:lang w:val="en-US"/>
        </w:rPr>
      </w:pPr>
      <w:r w:rsidRPr="00A257C7">
        <w:rPr>
          <w:lang w:val="en-US"/>
        </w:rPr>
        <w:t>Area A, B, C, D, M and O.</w:t>
      </w:r>
    </w:p>
    <w:p w14:paraId="1521D8BB" w14:textId="77777777" w:rsidR="0030431B" w:rsidRPr="00A257C7" w:rsidRDefault="0030431B" w:rsidP="00A257C7">
      <w:pPr>
        <w:pStyle w:val="Body-Black"/>
        <w:rPr>
          <w:lang w:val="en-US"/>
        </w:rPr>
      </w:pPr>
      <w:r w:rsidRPr="00A257C7">
        <w:rPr>
          <w:lang w:val="en-US"/>
        </w:rPr>
        <w:t>The following areas within the site require both a Stage 1 Preliminary Site Investigation (PSI) and Stage 2 Detailed Site Investigation (DSI):</w:t>
      </w:r>
    </w:p>
    <w:p w14:paraId="4E8427D1" w14:textId="77777777" w:rsidR="0030431B" w:rsidRPr="00A257C7" w:rsidRDefault="0030431B" w:rsidP="00FC567E">
      <w:pPr>
        <w:pStyle w:val="Body-Black"/>
        <w:numPr>
          <w:ilvl w:val="0"/>
          <w:numId w:val="31"/>
        </w:numPr>
        <w:rPr>
          <w:lang w:val="en-US"/>
        </w:rPr>
      </w:pPr>
      <w:r w:rsidRPr="00A257C7">
        <w:rPr>
          <w:lang w:val="en-US"/>
        </w:rPr>
        <w:t xml:space="preserve">Group 1 (Areas A – E); </w:t>
      </w:r>
    </w:p>
    <w:p w14:paraId="3EF86B5F" w14:textId="77777777" w:rsidR="0030431B" w:rsidRPr="00A257C7" w:rsidRDefault="0030431B" w:rsidP="00FC567E">
      <w:pPr>
        <w:pStyle w:val="Body-Black"/>
        <w:numPr>
          <w:ilvl w:val="0"/>
          <w:numId w:val="31"/>
        </w:numPr>
        <w:rPr>
          <w:lang w:val="en-US"/>
        </w:rPr>
      </w:pPr>
      <w:r w:rsidRPr="00A257C7">
        <w:rPr>
          <w:lang w:val="en-US"/>
        </w:rPr>
        <w:t>Group 2 (Areas K, L and N);</w:t>
      </w:r>
    </w:p>
    <w:p w14:paraId="5B3BEB4F" w14:textId="77777777" w:rsidR="0030431B" w:rsidRPr="00A257C7" w:rsidRDefault="0030431B" w:rsidP="00FC567E">
      <w:pPr>
        <w:pStyle w:val="Body-Black"/>
        <w:numPr>
          <w:ilvl w:val="0"/>
          <w:numId w:val="31"/>
        </w:numPr>
        <w:rPr>
          <w:lang w:val="en-US"/>
        </w:rPr>
      </w:pPr>
      <w:r w:rsidRPr="00A257C7">
        <w:rPr>
          <w:lang w:val="en-US"/>
        </w:rPr>
        <w:t>Group 3 (Areas P to X); and</w:t>
      </w:r>
    </w:p>
    <w:p w14:paraId="24BF20B3" w14:textId="77777777" w:rsidR="0030431B" w:rsidRPr="00A257C7" w:rsidRDefault="0030431B" w:rsidP="00FC567E">
      <w:pPr>
        <w:pStyle w:val="Body-Black"/>
        <w:numPr>
          <w:ilvl w:val="0"/>
          <w:numId w:val="31"/>
        </w:numPr>
        <w:rPr>
          <w:lang w:val="en-US"/>
        </w:rPr>
      </w:pPr>
      <w:r w:rsidRPr="00A257C7">
        <w:rPr>
          <w:lang w:val="en-US"/>
        </w:rPr>
        <w:t>Group 4 (Area Y).</w:t>
      </w:r>
    </w:p>
    <w:p w14:paraId="53563530" w14:textId="77777777" w:rsidR="0030431B" w:rsidRPr="00D4456A" w:rsidRDefault="0030431B" w:rsidP="00A257C7">
      <w:pPr>
        <w:pStyle w:val="Body-Black"/>
        <w:rPr>
          <w:u w:val="single"/>
          <w:lang w:val="en-US"/>
        </w:rPr>
      </w:pPr>
      <w:r w:rsidRPr="00D4456A">
        <w:rPr>
          <w:u w:val="single"/>
          <w:lang w:val="en-US"/>
        </w:rPr>
        <w:t>Contamination Summary</w:t>
      </w:r>
    </w:p>
    <w:p w14:paraId="2D435B30" w14:textId="77777777" w:rsidR="0030431B" w:rsidRPr="00A257C7" w:rsidRDefault="0030431B" w:rsidP="00A257C7">
      <w:pPr>
        <w:pStyle w:val="Body-Black"/>
        <w:rPr>
          <w:lang w:val="en-US"/>
        </w:rPr>
      </w:pPr>
      <w:r w:rsidRPr="00A257C7">
        <w:rPr>
          <w:lang w:val="en-US"/>
        </w:rPr>
        <w:t>A summary of potential contamination sources for each area is provided below:</w:t>
      </w:r>
    </w:p>
    <w:p w14:paraId="0C0E17BC" w14:textId="77777777" w:rsidR="0030431B" w:rsidRPr="00A257C7" w:rsidRDefault="0030431B" w:rsidP="00FC567E">
      <w:pPr>
        <w:pStyle w:val="Body-Black"/>
        <w:numPr>
          <w:ilvl w:val="0"/>
          <w:numId w:val="32"/>
        </w:numPr>
        <w:rPr>
          <w:lang w:val="en-US"/>
        </w:rPr>
      </w:pPr>
      <w:r w:rsidRPr="00A257C7">
        <w:rPr>
          <w:lang w:val="en-US"/>
        </w:rPr>
        <w:t xml:space="preserve">Areas A, and D – widespread filling for site releveling purposes; </w:t>
      </w:r>
    </w:p>
    <w:p w14:paraId="13B12BDD" w14:textId="77777777" w:rsidR="0030431B" w:rsidRPr="00A257C7" w:rsidRDefault="0030431B" w:rsidP="00FC567E">
      <w:pPr>
        <w:pStyle w:val="Body-Black"/>
        <w:numPr>
          <w:ilvl w:val="0"/>
          <w:numId w:val="32"/>
        </w:numPr>
        <w:rPr>
          <w:lang w:val="en-US"/>
        </w:rPr>
      </w:pPr>
      <w:r w:rsidRPr="00A257C7">
        <w:rPr>
          <w:lang w:val="en-US"/>
        </w:rPr>
        <w:t xml:space="preserve">Area C was also reported to have received uncontrolled waste from unknown sources, with previous identification of ACM fragments in fill and stockpiles at multiple on-site locations; </w:t>
      </w:r>
    </w:p>
    <w:p w14:paraId="0EEC8957" w14:textId="77777777" w:rsidR="0030431B" w:rsidRPr="00A257C7" w:rsidRDefault="0030431B" w:rsidP="00FC567E">
      <w:pPr>
        <w:pStyle w:val="Body-Black"/>
        <w:numPr>
          <w:ilvl w:val="0"/>
          <w:numId w:val="32"/>
        </w:numPr>
        <w:rPr>
          <w:lang w:val="en-US"/>
        </w:rPr>
      </w:pPr>
      <w:r w:rsidRPr="00A257C7">
        <w:rPr>
          <w:lang w:val="en-US"/>
        </w:rPr>
        <w:t>Area B:</w:t>
      </w:r>
    </w:p>
    <w:p w14:paraId="235D9018" w14:textId="77777777" w:rsidR="0030431B" w:rsidRPr="00A257C7" w:rsidRDefault="0030431B" w:rsidP="00FC567E">
      <w:pPr>
        <w:pStyle w:val="Body-Black"/>
        <w:numPr>
          <w:ilvl w:val="1"/>
          <w:numId w:val="32"/>
        </w:numPr>
        <w:rPr>
          <w:lang w:val="en-US"/>
        </w:rPr>
      </w:pPr>
      <w:r w:rsidRPr="00A257C7">
        <w:rPr>
          <w:lang w:val="en-US"/>
        </w:rPr>
        <w:t xml:space="preserve">Area B-west and Area B-east were subject to chemical spills and leaks from the handling and storage of hazardous substances; </w:t>
      </w:r>
    </w:p>
    <w:p w14:paraId="576DB91E" w14:textId="77777777" w:rsidR="0030431B" w:rsidRPr="00A257C7" w:rsidRDefault="0030431B" w:rsidP="00FC567E">
      <w:pPr>
        <w:pStyle w:val="Body-Black"/>
        <w:numPr>
          <w:ilvl w:val="1"/>
          <w:numId w:val="32"/>
        </w:numPr>
        <w:rPr>
          <w:lang w:val="en-US"/>
        </w:rPr>
      </w:pPr>
      <w:r w:rsidRPr="00A257C7">
        <w:rPr>
          <w:lang w:val="en-US"/>
        </w:rPr>
        <w:t>Area B-west was also subject to burial of industrial waste, including asbestos waste and disused chemical drums;</w:t>
      </w:r>
    </w:p>
    <w:p w14:paraId="276389EB" w14:textId="77777777" w:rsidR="0030431B" w:rsidRPr="00A257C7" w:rsidRDefault="0030431B" w:rsidP="00FC567E">
      <w:pPr>
        <w:pStyle w:val="Body-Black"/>
        <w:numPr>
          <w:ilvl w:val="1"/>
          <w:numId w:val="32"/>
        </w:numPr>
        <w:rPr>
          <w:lang w:val="en-US"/>
        </w:rPr>
      </w:pPr>
      <w:r w:rsidRPr="00A257C7">
        <w:rPr>
          <w:lang w:val="en-US"/>
        </w:rPr>
        <w:t xml:space="preserve">Area B-west, south of Factory, 4 diesel-type phase separated hydrocarbons (PSH), were previously reported on groundwater at former monitoring well WS01 and remedial product recovery works were reported by RES (1999), however it is assumed that further remedial action may be needed in regard to PSH; </w:t>
      </w:r>
    </w:p>
    <w:p w14:paraId="30AEC3EE" w14:textId="77777777" w:rsidR="0030431B" w:rsidRPr="00A257C7" w:rsidRDefault="0030431B" w:rsidP="00FC567E">
      <w:pPr>
        <w:pStyle w:val="Body-Black"/>
        <w:numPr>
          <w:ilvl w:val="1"/>
          <w:numId w:val="32"/>
        </w:numPr>
        <w:rPr>
          <w:lang w:val="en-US"/>
        </w:rPr>
      </w:pPr>
      <w:r w:rsidRPr="00A257C7">
        <w:rPr>
          <w:lang w:val="en-US"/>
        </w:rPr>
        <w:t>Area B-west, southeast of Factory 5, at former monitoring ells WS13 and WS14, diesel-type PSH and dissolved petroleum hydrocarbons were previously reported for groundwater located in Area B-west, this was thought to be a result of onsite migration from an up-gradient UST on Area B-east, as reported by AGC-WC (1999);</w:t>
      </w:r>
    </w:p>
    <w:p w14:paraId="3B9F46D8" w14:textId="77777777" w:rsidR="0030431B" w:rsidRPr="00A257C7" w:rsidRDefault="0030431B" w:rsidP="00FC567E">
      <w:pPr>
        <w:pStyle w:val="Body-Black"/>
        <w:numPr>
          <w:ilvl w:val="0"/>
          <w:numId w:val="32"/>
        </w:numPr>
        <w:rPr>
          <w:lang w:val="en-US"/>
        </w:rPr>
      </w:pPr>
      <w:r w:rsidRPr="00A257C7">
        <w:rPr>
          <w:lang w:val="en-US"/>
        </w:rPr>
        <w:t>Area K – Petroleum hydrocarbon and VOC impacts associated with service station operations at the Caltex Service Station;</w:t>
      </w:r>
    </w:p>
    <w:p w14:paraId="686DADF3" w14:textId="77777777" w:rsidR="0030431B" w:rsidRPr="00A257C7" w:rsidRDefault="0030431B" w:rsidP="00FC567E">
      <w:pPr>
        <w:pStyle w:val="Body-Black"/>
        <w:numPr>
          <w:ilvl w:val="0"/>
          <w:numId w:val="32"/>
        </w:numPr>
        <w:rPr>
          <w:lang w:val="en-US"/>
        </w:rPr>
      </w:pPr>
      <w:r w:rsidRPr="00A257C7">
        <w:rPr>
          <w:lang w:val="en-US"/>
        </w:rPr>
        <w:t xml:space="preserve">Area F – Plastics extrusion factory, which stores and handles a range of chemicals, including resins, plasticisers, phenols and solvents; </w:t>
      </w:r>
    </w:p>
    <w:p w14:paraId="52B7292E" w14:textId="77777777" w:rsidR="0030431B" w:rsidRPr="00A257C7" w:rsidRDefault="0030431B" w:rsidP="00FC567E">
      <w:pPr>
        <w:pStyle w:val="Body-Black"/>
        <w:numPr>
          <w:ilvl w:val="0"/>
          <w:numId w:val="32"/>
        </w:numPr>
        <w:rPr>
          <w:lang w:val="en-US"/>
        </w:rPr>
      </w:pPr>
      <w:r w:rsidRPr="00A257C7">
        <w:rPr>
          <w:lang w:val="en-US"/>
        </w:rPr>
        <w:lastRenderedPageBreak/>
        <w:t xml:space="preserve">Area G, J, L, R and S – Mechanical workshops, tyre repair, car wash, and smash repair businesses handling a range of chemicals including metals, automotive fluids, PFAS, oil, grease, paints, resins, plasticisers, phenols and degreasing solvents; and </w:t>
      </w:r>
    </w:p>
    <w:p w14:paraId="57B3A4BF" w14:textId="77777777" w:rsidR="0030431B" w:rsidRPr="00A257C7" w:rsidRDefault="0030431B" w:rsidP="00FC567E">
      <w:pPr>
        <w:pStyle w:val="Body-Black"/>
        <w:numPr>
          <w:ilvl w:val="0"/>
          <w:numId w:val="32"/>
        </w:numPr>
        <w:rPr>
          <w:lang w:val="en-US"/>
        </w:rPr>
      </w:pPr>
      <w:r w:rsidRPr="00A257C7">
        <w:rPr>
          <w:lang w:val="en-US"/>
        </w:rPr>
        <w:t xml:space="preserve">Area O – Furniture manufacturing facility, with a disused UST and other potentially contaminating operations including flammable liquids storage, painting and staining of furniture and the onsite burial of ACM in site fill. </w:t>
      </w:r>
    </w:p>
    <w:p w14:paraId="21C427D4" w14:textId="77777777" w:rsidR="0030431B" w:rsidRPr="00D4456A" w:rsidRDefault="0030431B" w:rsidP="00A257C7">
      <w:pPr>
        <w:pStyle w:val="Body-Black"/>
        <w:rPr>
          <w:u w:val="single"/>
          <w:lang w:val="en-US"/>
        </w:rPr>
      </w:pPr>
      <w:r w:rsidRPr="00D4456A">
        <w:rPr>
          <w:u w:val="single"/>
          <w:lang w:val="en-US"/>
        </w:rPr>
        <w:t>Conclusion</w:t>
      </w:r>
    </w:p>
    <w:p w14:paraId="7D38ADD4" w14:textId="77777777" w:rsidR="0030431B" w:rsidRPr="00A257C7" w:rsidRDefault="0030431B" w:rsidP="00A257C7">
      <w:pPr>
        <w:pStyle w:val="Body-Black"/>
        <w:rPr>
          <w:lang w:val="en-US"/>
        </w:rPr>
      </w:pPr>
      <w:r w:rsidRPr="00A257C7">
        <w:rPr>
          <w:lang w:val="en-US"/>
        </w:rPr>
        <w:t>EI Australia conclude that the site can be made suitable for the proposed use and that a combination of the following remedial options may be implemented to remediate the site for its intended purpose:</w:t>
      </w:r>
    </w:p>
    <w:p w14:paraId="0271989A" w14:textId="77777777" w:rsidR="0030431B" w:rsidRPr="00A257C7" w:rsidRDefault="0030431B" w:rsidP="00FC567E">
      <w:pPr>
        <w:pStyle w:val="Body-Black"/>
        <w:numPr>
          <w:ilvl w:val="0"/>
          <w:numId w:val="33"/>
        </w:numPr>
        <w:rPr>
          <w:lang w:val="en-US"/>
        </w:rPr>
      </w:pPr>
      <w:r w:rsidRPr="00A257C7">
        <w:rPr>
          <w:lang w:val="en-US"/>
        </w:rPr>
        <w:t xml:space="preserve">Excavation and On-site Encapsulation – Involving excavation of impacted soils from bulk excavations that are intended for the construction of basement car parking facilities followed by onsite reuse to the extent possible. </w:t>
      </w:r>
    </w:p>
    <w:p w14:paraId="5AF805B7" w14:textId="77777777" w:rsidR="0030431B" w:rsidRPr="00A257C7" w:rsidRDefault="0030431B" w:rsidP="00FC567E">
      <w:pPr>
        <w:pStyle w:val="Body-Black"/>
        <w:numPr>
          <w:ilvl w:val="0"/>
          <w:numId w:val="33"/>
        </w:numPr>
        <w:rPr>
          <w:lang w:val="en-US"/>
        </w:rPr>
      </w:pPr>
      <w:r w:rsidRPr="00A257C7">
        <w:rPr>
          <w:lang w:val="en-US"/>
        </w:rPr>
        <w:t>On-site containment of contaminated soils by way of capping and/or encapsulation within low permeability cells or other appropriately designed barrier system, where subsurface or above-ground storage areas are available. Contaminated materials that are retained on-site will need to be managed under a site-specific LTEMP, which will include periodic groundwater monitoring to confirm that off-site containment migration is not occurring. Should off-site mitigation be detected, then contingent groundwater measures will need to be implemented;</w:t>
      </w:r>
    </w:p>
    <w:p w14:paraId="7800190B" w14:textId="77777777" w:rsidR="0030431B" w:rsidRPr="00A257C7" w:rsidRDefault="0030431B" w:rsidP="00FC567E">
      <w:pPr>
        <w:pStyle w:val="Body-Black"/>
        <w:numPr>
          <w:ilvl w:val="0"/>
          <w:numId w:val="33"/>
        </w:numPr>
        <w:rPr>
          <w:lang w:val="en-US"/>
        </w:rPr>
      </w:pPr>
      <w:r w:rsidRPr="00A257C7">
        <w:rPr>
          <w:lang w:val="en-US"/>
        </w:rPr>
        <w:t xml:space="preserve">Excavation and Off-site Disposal – Involving excavation of impacted soils from bulk excavation followed by off-site disposal of surplus impacted soils to licensed waste landfill; </w:t>
      </w:r>
    </w:p>
    <w:p w14:paraId="36CDAA7E" w14:textId="77777777" w:rsidR="0030431B" w:rsidRPr="00A257C7" w:rsidRDefault="0030431B" w:rsidP="00FC567E">
      <w:pPr>
        <w:pStyle w:val="Body-Black"/>
        <w:numPr>
          <w:ilvl w:val="0"/>
          <w:numId w:val="33"/>
        </w:numPr>
        <w:rPr>
          <w:lang w:val="en-US"/>
        </w:rPr>
      </w:pPr>
      <w:r w:rsidRPr="00A257C7">
        <w:rPr>
          <w:lang w:val="en-US"/>
        </w:rPr>
        <w:t>In-site Soil Vapour Extraction – Coarse grained soils impacted with VOCs (including chlorinated VOCs, light fraction petroleum hydrocarbons and BTEX), may be treated in-situ by extracting soil vapour under vacuum, via horizontal vent pipes installed in trenches throughout the impacted area. The contamination is drawn out of the soil as vapour and liquid, which are collected for appropriate on-site treatment and/or off-site recycling; and</w:t>
      </w:r>
    </w:p>
    <w:p w14:paraId="0B12620B" w14:textId="77777777" w:rsidR="0030431B" w:rsidRPr="00A257C7" w:rsidRDefault="0030431B" w:rsidP="00FC567E">
      <w:pPr>
        <w:pStyle w:val="Body-Black"/>
        <w:numPr>
          <w:ilvl w:val="0"/>
          <w:numId w:val="33"/>
        </w:numPr>
        <w:rPr>
          <w:lang w:val="en-US"/>
        </w:rPr>
      </w:pPr>
      <w:r w:rsidRPr="00A257C7">
        <w:rPr>
          <w:lang w:val="en-US"/>
        </w:rPr>
        <w:t xml:space="preserve">Ex-situ Bioremediation with Soil Vapour Extraction – Coarse grained soils impacted with VOCs (including chlorinated VOCs, light fraction petroleum hydrocarbons and BTEX), may be treated ex-situ by extracting soil vapour under vacuum, via horizontal vent pipes installed in bio-piles created from the excavation of impacted soils. The contamination is drawn out of the soil bio-piles as vapour and liquid, which are collected for appropriate on-site treatment and/or off-site recycling. </w:t>
      </w:r>
    </w:p>
    <w:p w14:paraId="5B47F14C" w14:textId="77777777" w:rsidR="0030431B" w:rsidRPr="00A257C7" w:rsidRDefault="0030431B" w:rsidP="00A257C7">
      <w:pPr>
        <w:pStyle w:val="Body-Black"/>
        <w:rPr>
          <w:lang w:val="en-US"/>
        </w:rPr>
      </w:pPr>
      <w:r w:rsidRPr="00A257C7">
        <w:rPr>
          <w:lang w:val="en-US"/>
        </w:rPr>
        <w:t xml:space="preserve">Overall, once the data gap closure investigations are available, the remedial strategy may be refined. A detailed, site-specific remedial action plan (RAP) is required for each site, before the commencement of site remediation. </w:t>
      </w:r>
    </w:p>
    <w:p w14:paraId="7200DE60" w14:textId="77777777" w:rsidR="0030431B" w:rsidRPr="00A257C7" w:rsidRDefault="0030431B" w:rsidP="00A257C7">
      <w:pPr>
        <w:pStyle w:val="Body-Black"/>
        <w:rPr>
          <w:lang w:val="en-US"/>
        </w:rPr>
      </w:pPr>
      <w:r w:rsidRPr="00A257C7">
        <w:rPr>
          <w:lang w:val="en-US"/>
        </w:rPr>
        <w:t xml:space="preserve">The site-specific RAP must include an Unexpected Finds Protocol to provide guidance on addressing unexpected contamination that may be identified during the course of site redevelopment. </w:t>
      </w:r>
    </w:p>
    <w:p w14:paraId="26600D0D" w14:textId="77777777" w:rsidR="0030431B" w:rsidRPr="00D4456A" w:rsidRDefault="0030431B" w:rsidP="00A257C7">
      <w:pPr>
        <w:pStyle w:val="Body-Black"/>
        <w:rPr>
          <w:b/>
          <w:bCs/>
          <w:lang w:val="en-US"/>
        </w:rPr>
      </w:pPr>
      <w:bookmarkStart w:id="85" w:name="_Toc36204400"/>
      <w:bookmarkStart w:id="86" w:name="_Toc36636099"/>
      <w:bookmarkStart w:id="87" w:name="_Toc36648213"/>
      <w:bookmarkStart w:id="88" w:name="_Toc37774619"/>
      <w:r w:rsidRPr="00D4456A">
        <w:rPr>
          <w:b/>
          <w:bCs/>
          <w:lang w:val="en-US"/>
        </w:rPr>
        <w:t>Heritage</w:t>
      </w:r>
      <w:bookmarkEnd w:id="85"/>
      <w:bookmarkEnd w:id="86"/>
      <w:bookmarkEnd w:id="87"/>
      <w:bookmarkEnd w:id="88"/>
    </w:p>
    <w:p w14:paraId="4DE16F15" w14:textId="51F479D0" w:rsidR="0030431B" w:rsidRPr="00A257C7" w:rsidRDefault="0030431B" w:rsidP="00A257C7">
      <w:pPr>
        <w:pStyle w:val="Body-Black"/>
        <w:rPr>
          <w:lang w:val="en-US"/>
        </w:rPr>
      </w:pPr>
      <w:r w:rsidRPr="00A257C7">
        <w:rPr>
          <w:lang w:val="en-US"/>
        </w:rPr>
        <w:t>A Historical Heritage Assessment and Aboriginal Heritage Assessment has been prepared by Eco Logical Australia in support of the Planning Proposal.</w:t>
      </w:r>
    </w:p>
    <w:p w14:paraId="5C6F5DC8" w14:textId="77777777" w:rsidR="0030431B" w:rsidRPr="004375B5" w:rsidRDefault="0030431B" w:rsidP="00A257C7">
      <w:pPr>
        <w:pStyle w:val="Body-Black"/>
        <w:rPr>
          <w:u w:val="single"/>
          <w:lang w:val="en-US"/>
        </w:rPr>
      </w:pPr>
      <w:r w:rsidRPr="004375B5">
        <w:rPr>
          <w:u w:val="single"/>
          <w:lang w:val="en-US"/>
        </w:rPr>
        <w:t xml:space="preserve">Historical Heritage Assessment </w:t>
      </w:r>
    </w:p>
    <w:p w14:paraId="376DA3BD" w14:textId="77777777" w:rsidR="0030431B" w:rsidRPr="00A257C7" w:rsidRDefault="0030431B" w:rsidP="00A257C7">
      <w:pPr>
        <w:pStyle w:val="Body-Black"/>
        <w:rPr>
          <w:lang w:val="en-US"/>
        </w:rPr>
      </w:pPr>
      <w:r w:rsidRPr="00A257C7">
        <w:rPr>
          <w:lang w:val="en-US"/>
        </w:rPr>
        <w:lastRenderedPageBreak/>
        <w:t xml:space="preserve">The Historical Heritage Assessment identifies if historical heritage items were locality to be located within the study area, and if so, whether future development of the area had potential to impact upon the heritage significance of those items. </w:t>
      </w:r>
    </w:p>
    <w:p w14:paraId="042F5A96" w14:textId="77777777" w:rsidR="0030431B" w:rsidRPr="00A257C7" w:rsidRDefault="0030431B" w:rsidP="00A257C7">
      <w:pPr>
        <w:pStyle w:val="Body-Black"/>
        <w:rPr>
          <w:lang w:val="en-US"/>
        </w:rPr>
      </w:pPr>
      <w:r w:rsidRPr="00A257C7">
        <w:rPr>
          <w:lang w:val="en-US"/>
        </w:rPr>
        <w:t xml:space="preserve">Part of the site is a locally listed heritage item on LLEP 2008 known as the Pirelli Power Cables and Systems Building (Formerly MM Cables Factory and now known as Prysmian). </w:t>
      </w:r>
    </w:p>
    <w:p w14:paraId="27B2E690" w14:textId="77777777" w:rsidR="0030431B" w:rsidRPr="004375B5" w:rsidRDefault="0030431B" w:rsidP="00A257C7">
      <w:pPr>
        <w:pStyle w:val="Body-Black"/>
        <w:rPr>
          <w:u w:val="single"/>
          <w:lang w:val="en-US"/>
        </w:rPr>
      </w:pPr>
      <w:r w:rsidRPr="004375B5">
        <w:rPr>
          <w:u w:val="single"/>
          <w:lang w:val="en-US"/>
        </w:rPr>
        <w:t>Heritage Grading</w:t>
      </w:r>
    </w:p>
    <w:p w14:paraId="1543F363" w14:textId="77777777" w:rsidR="0030431B" w:rsidRPr="00A257C7" w:rsidRDefault="0030431B" w:rsidP="00A257C7">
      <w:pPr>
        <w:pStyle w:val="Body-Black"/>
        <w:rPr>
          <w:lang w:val="en-US"/>
        </w:rPr>
      </w:pPr>
      <w:r w:rsidRPr="00A257C7">
        <w:rPr>
          <w:lang w:val="en-US"/>
        </w:rPr>
        <w:t>Grading of items on the site as possessing heritage significance for the Pirelli Power Cables Administration Building and Factory are provided below:</w:t>
      </w:r>
    </w:p>
    <w:p w14:paraId="6ADCE4F8" w14:textId="02843BC5" w:rsidR="0030431B" w:rsidRPr="004375B5" w:rsidRDefault="0030431B" w:rsidP="00A257C7">
      <w:pPr>
        <w:pStyle w:val="Body-Black"/>
        <w:rPr>
          <w:i/>
          <w:iCs w:val="0"/>
          <w:lang w:val="en-US"/>
        </w:rPr>
      </w:pPr>
      <w:r w:rsidRPr="004375B5">
        <w:rPr>
          <w:i/>
          <w:iCs w:val="0"/>
          <w:lang w:val="en-US"/>
        </w:rPr>
        <w:t>High Significance</w:t>
      </w:r>
    </w:p>
    <w:p w14:paraId="3748ED4A" w14:textId="77777777" w:rsidR="0030431B" w:rsidRPr="00A257C7" w:rsidRDefault="0030431B" w:rsidP="00FC567E">
      <w:pPr>
        <w:pStyle w:val="Body-Black"/>
        <w:numPr>
          <w:ilvl w:val="0"/>
          <w:numId w:val="34"/>
        </w:numPr>
        <w:rPr>
          <w:lang w:val="en-US"/>
        </w:rPr>
      </w:pPr>
      <w:r w:rsidRPr="00A257C7">
        <w:rPr>
          <w:lang w:val="en-US"/>
        </w:rPr>
        <w:t xml:space="preserve">Original Administration Building; </w:t>
      </w:r>
    </w:p>
    <w:p w14:paraId="03C3F8A4" w14:textId="77777777" w:rsidR="0030431B" w:rsidRPr="00A257C7" w:rsidRDefault="0030431B" w:rsidP="00FC567E">
      <w:pPr>
        <w:pStyle w:val="Body-Black"/>
        <w:numPr>
          <w:ilvl w:val="0"/>
          <w:numId w:val="34"/>
        </w:numPr>
        <w:rPr>
          <w:lang w:val="en-US"/>
        </w:rPr>
      </w:pPr>
      <w:r w:rsidRPr="00A257C7">
        <w:rPr>
          <w:lang w:val="en-US"/>
        </w:rPr>
        <w:t>Original Factory Building No. 1; and</w:t>
      </w:r>
    </w:p>
    <w:p w14:paraId="10266D5E" w14:textId="77777777" w:rsidR="0030431B" w:rsidRPr="00A257C7" w:rsidRDefault="0030431B" w:rsidP="00FC567E">
      <w:pPr>
        <w:pStyle w:val="Body-Black"/>
        <w:numPr>
          <w:ilvl w:val="0"/>
          <w:numId w:val="34"/>
        </w:numPr>
        <w:rPr>
          <w:lang w:val="en-US"/>
        </w:rPr>
      </w:pPr>
      <w:r w:rsidRPr="00A257C7">
        <w:rPr>
          <w:lang w:val="en-US"/>
        </w:rPr>
        <w:t>Original Factory Building No. 2.</w:t>
      </w:r>
    </w:p>
    <w:p w14:paraId="2D3E750F" w14:textId="77777777" w:rsidR="0030431B" w:rsidRPr="004375B5" w:rsidRDefault="0030431B" w:rsidP="00A257C7">
      <w:pPr>
        <w:pStyle w:val="Body-Black"/>
        <w:rPr>
          <w:i/>
          <w:iCs w:val="0"/>
          <w:lang w:val="en-US"/>
        </w:rPr>
      </w:pPr>
      <w:r w:rsidRPr="004375B5">
        <w:rPr>
          <w:i/>
          <w:iCs w:val="0"/>
          <w:lang w:val="en-US"/>
        </w:rPr>
        <w:t xml:space="preserve">Moderate Significance </w:t>
      </w:r>
    </w:p>
    <w:p w14:paraId="501D85FB" w14:textId="77777777" w:rsidR="0030431B" w:rsidRPr="00A257C7" w:rsidRDefault="0030431B" w:rsidP="00FC567E">
      <w:pPr>
        <w:pStyle w:val="Body-Black"/>
        <w:numPr>
          <w:ilvl w:val="0"/>
          <w:numId w:val="35"/>
        </w:numPr>
        <w:rPr>
          <w:lang w:val="en-US"/>
        </w:rPr>
      </w:pPr>
      <w:r w:rsidRPr="00A257C7">
        <w:rPr>
          <w:lang w:val="en-US"/>
        </w:rPr>
        <w:t>Guard house/entry building;</w:t>
      </w:r>
    </w:p>
    <w:p w14:paraId="17A9DD9B" w14:textId="77777777" w:rsidR="0030431B" w:rsidRPr="00A257C7" w:rsidRDefault="0030431B" w:rsidP="00FC567E">
      <w:pPr>
        <w:pStyle w:val="Body-Black"/>
        <w:numPr>
          <w:ilvl w:val="0"/>
          <w:numId w:val="35"/>
        </w:numPr>
        <w:rPr>
          <w:lang w:val="en-US"/>
        </w:rPr>
      </w:pPr>
      <w:r w:rsidRPr="00A257C7">
        <w:rPr>
          <w:lang w:val="en-US"/>
        </w:rPr>
        <w:t>Rear additions to Factory No. 2; and</w:t>
      </w:r>
    </w:p>
    <w:p w14:paraId="6AA73A9A" w14:textId="77777777" w:rsidR="0030431B" w:rsidRPr="00A257C7" w:rsidRDefault="0030431B" w:rsidP="00FC567E">
      <w:pPr>
        <w:pStyle w:val="Body-Black"/>
        <w:numPr>
          <w:ilvl w:val="0"/>
          <w:numId w:val="35"/>
        </w:numPr>
        <w:rPr>
          <w:lang w:val="en-US"/>
        </w:rPr>
      </w:pPr>
      <w:r w:rsidRPr="00A257C7">
        <w:rPr>
          <w:lang w:val="en-US"/>
        </w:rPr>
        <w:t>Original landscape layout in front of the Administration Building (including sides and the front gate).</w:t>
      </w:r>
    </w:p>
    <w:p w14:paraId="2C802819" w14:textId="77777777" w:rsidR="0030431B" w:rsidRPr="004375B5" w:rsidRDefault="0030431B" w:rsidP="00A257C7">
      <w:pPr>
        <w:pStyle w:val="Body-Black"/>
        <w:rPr>
          <w:i/>
          <w:iCs w:val="0"/>
          <w:lang w:val="en-US"/>
        </w:rPr>
      </w:pPr>
      <w:r w:rsidRPr="004375B5">
        <w:rPr>
          <w:i/>
          <w:iCs w:val="0"/>
          <w:lang w:val="en-US"/>
        </w:rPr>
        <w:t>Little Significance</w:t>
      </w:r>
    </w:p>
    <w:p w14:paraId="4B8F0E1D" w14:textId="77777777" w:rsidR="0030431B" w:rsidRPr="00A257C7" w:rsidRDefault="0030431B" w:rsidP="00FC567E">
      <w:pPr>
        <w:pStyle w:val="Body-Black"/>
        <w:numPr>
          <w:ilvl w:val="0"/>
          <w:numId w:val="36"/>
        </w:numPr>
        <w:rPr>
          <w:lang w:val="en-US"/>
        </w:rPr>
      </w:pPr>
      <w:r w:rsidRPr="00A257C7">
        <w:rPr>
          <w:lang w:val="en-US"/>
        </w:rPr>
        <w:t xml:space="preserve">Rear additions to the Administration Building; </w:t>
      </w:r>
    </w:p>
    <w:p w14:paraId="4A1D4FDE" w14:textId="77777777" w:rsidR="0030431B" w:rsidRPr="00A257C7" w:rsidRDefault="0030431B" w:rsidP="00FC567E">
      <w:pPr>
        <w:pStyle w:val="Body-Black"/>
        <w:numPr>
          <w:ilvl w:val="0"/>
          <w:numId w:val="36"/>
        </w:numPr>
        <w:rPr>
          <w:lang w:val="en-US"/>
        </w:rPr>
      </w:pPr>
      <w:r w:rsidRPr="00A257C7">
        <w:rPr>
          <w:lang w:val="en-US"/>
        </w:rPr>
        <w:t xml:space="preserve">North bays to Factory No. 1 and No. 2; </w:t>
      </w:r>
    </w:p>
    <w:p w14:paraId="618DCF9D" w14:textId="77777777" w:rsidR="0030431B" w:rsidRPr="00A257C7" w:rsidRDefault="0030431B" w:rsidP="00FC567E">
      <w:pPr>
        <w:pStyle w:val="Body-Black"/>
        <w:numPr>
          <w:ilvl w:val="0"/>
          <w:numId w:val="36"/>
        </w:numPr>
        <w:rPr>
          <w:lang w:val="en-US"/>
        </w:rPr>
      </w:pPr>
      <w:r w:rsidRPr="00A257C7">
        <w:rPr>
          <w:lang w:val="en-US"/>
        </w:rPr>
        <w:t>Factory No. 3, No. 4 and No. 5; and</w:t>
      </w:r>
    </w:p>
    <w:p w14:paraId="18629D51" w14:textId="77777777" w:rsidR="0030431B" w:rsidRPr="00A257C7" w:rsidRDefault="0030431B" w:rsidP="00FC567E">
      <w:pPr>
        <w:pStyle w:val="Body-Black"/>
        <w:numPr>
          <w:ilvl w:val="0"/>
          <w:numId w:val="36"/>
        </w:numPr>
        <w:rPr>
          <w:lang w:val="en-US"/>
        </w:rPr>
      </w:pPr>
      <w:r w:rsidRPr="00A257C7">
        <w:rPr>
          <w:lang w:val="en-US"/>
        </w:rPr>
        <w:t>All other remaining structures.</w:t>
      </w:r>
    </w:p>
    <w:p w14:paraId="1A39F9C1" w14:textId="77777777" w:rsidR="0030431B" w:rsidRPr="004375B5" w:rsidRDefault="0030431B" w:rsidP="00A257C7">
      <w:pPr>
        <w:pStyle w:val="Body-Black"/>
        <w:rPr>
          <w:i/>
          <w:iCs w:val="0"/>
          <w:lang w:val="en-US"/>
        </w:rPr>
      </w:pPr>
      <w:r w:rsidRPr="004375B5">
        <w:rPr>
          <w:i/>
          <w:iCs w:val="0"/>
          <w:lang w:val="en-US"/>
        </w:rPr>
        <w:t>Intrusive</w:t>
      </w:r>
    </w:p>
    <w:p w14:paraId="3D2F25F9" w14:textId="77777777" w:rsidR="0030431B" w:rsidRPr="00A257C7" w:rsidRDefault="0030431B" w:rsidP="00FC567E">
      <w:pPr>
        <w:pStyle w:val="Body-Black"/>
        <w:numPr>
          <w:ilvl w:val="0"/>
          <w:numId w:val="37"/>
        </w:numPr>
        <w:rPr>
          <w:lang w:val="en-US"/>
        </w:rPr>
      </w:pPr>
      <w:r w:rsidRPr="00A257C7">
        <w:rPr>
          <w:lang w:val="en-US"/>
        </w:rPr>
        <w:t>West and South additions to Factory No. 1.</w:t>
      </w:r>
    </w:p>
    <w:p w14:paraId="54D09886" w14:textId="77777777" w:rsidR="0030431B" w:rsidRPr="00A257C7" w:rsidRDefault="0030431B" w:rsidP="00A257C7">
      <w:pPr>
        <w:pStyle w:val="Body-Black"/>
        <w:rPr>
          <w:lang w:val="en-US"/>
        </w:rPr>
      </w:pPr>
      <w:r w:rsidRPr="00A257C7">
        <w:rPr>
          <w:noProof/>
          <w:lang w:val="en-US"/>
        </w:rPr>
        <w:lastRenderedPageBreak/>
        <w:drawing>
          <wp:inline distT="0" distB="0" distL="0" distR="0" wp14:anchorId="44C23FB9" wp14:editId="6B137B37">
            <wp:extent cx="4320000" cy="5177405"/>
            <wp:effectExtent l="12700" t="12700" r="1079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3-17 at 2.55.33 pm.png"/>
                    <pic:cNvPicPr/>
                  </pic:nvPicPr>
                  <pic:blipFill>
                    <a:blip r:embed="rId31"/>
                    <a:stretch>
                      <a:fillRect/>
                    </a:stretch>
                  </pic:blipFill>
                  <pic:spPr>
                    <a:xfrm>
                      <a:off x="0" y="0"/>
                      <a:ext cx="4320000" cy="5177405"/>
                    </a:xfrm>
                    <a:prstGeom prst="rect">
                      <a:avLst/>
                    </a:prstGeom>
                    <a:ln>
                      <a:solidFill>
                        <a:schemeClr val="bg1">
                          <a:lumMod val="85000"/>
                        </a:schemeClr>
                      </a:solidFill>
                    </a:ln>
                  </pic:spPr>
                </pic:pic>
              </a:graphicData>
            </a:graphic>
          </wp:inline>
        </w:drawing>
      </w:r>
    </w:p>
    <w:p w14:paraId="61782911" w14:textId="6B7A1281" w:rsidR="0030431B" w:rsidRPr="00A257C7" w:rsidRDefault="0030431B" w:rsidP="004375B5">
      <w:pPr>
        <w:pStyle w:val="Caption"/>
        <w:keepNext/>
        <w:spacing w:line="276" w:lineRule="auto"/>
      </w:pPr>
      <w:bookmarkStart w:id="89" w:name="_Toc37862354"/>
      <w:r w:rsidRPr="004375B5">
        <w:rPr>
          <w:b/>
          <w:bCs/>
        </w:rPr>
        <w:t xml:space="preserve">Figure </w:t>
      </w:r>
      <w:r w:rsidR="00334458">
        <w:rPr>
          <w:b/>
          <w:bCs/>
        </w:rPr>
        <w:t>1</w:t>
      </w:r>
      <w:r w:rsidR="00FD1FDA">
        <w:rPr>
          <w:b/>
          <w:bCs/>
        </w:rPr>
        <w:t>4</w:t>
      </w:r>
      <w:r w:rsidRPr="00A257C7">
        <w:t>: Heritage Significance Grading (Source: Eco Logical Australia)</w:t>
      </w:r>
      <w:bookmarkEnd w:id="89"/>
    </w:p>
    <w:p w14:paraId="59CC4997" w14:textId="77777777" w:rsidR="0030431B" w:rsidRPr="00871BA4" w:rsidRDefault="0030431B" w:rsidP="00A257C7">
      <w:pPr>
        <w:pStyle w:val="Body-Black"/>
        <w:rPr>
          <w:u w:val="single"/>
          <w:lang w:val="en-US"/>
        </w:rPr>
      </w:pPr>
      <w:r w:rsidRPr="00871BA4">
        <w:rPr>
          <w:u w:val="single"/>
          <w:lang w:val="en-US"/>
        </w:rPr>
        <w:t>Assessment</w:t>
      </w:r>
    </w:p>
    <w:p w14:paraId="0D300C96" w14:textId="77777777" w:rsidR="0030431B" w:rsidRPr="00A257C7" w:rsidRDefault="0030431B" w:rsidP="00A257C7">
      <w:pPr>
        <w:pStyle w:val="Body-Black"/>
        <w:rPr>
          <w:lang w:val="en-US"/>
        </w:rPr>
      </w:pPr>
      <w:r w:rsidRPr="00A257C7">
        <w:rPr>
          <w:lang w:val="en-US"/>
        </w:rPr>
        <w:t xml:space="preserve">The report refers to the previous heritage assessment undertaken in 2018 by GBA, which identified the heritage significance structures on the site and recognised retention and re-use of the original factory buildings (No. 1 and No. 2) as a priority and preferable to the retention of the Administration building. GBA concludes the original function of the factory buildings are a good representation of the sites function and operational history. </w:t>
      </w:r>
    </w:p>
    <w:p w14:paraId="075F8B18" w14:textId="77777777" w:rsidR="0030431B" w:rsidRPr="00A257C7" w:rsidRDefault="0030431B" w:rsidP="00A257C7">
      <w:pPr>
        <w:pStyle w:val="Body-Black"/>
        <w:rPr>
          <w:lang w:val="en-US"/>
        </w:rPr>
      </w:pPr>
      <w:r w:rsidRPr="00A257C7">
        <w:rPr>
          <w:lang w:val="en-US"/>
        </w:rPr>
        <w:t xml:space="preserve">Eco Logical assessed the proposed masterplan and agree with the recommendations provided by GBA. The Administration Building, which is in poor condition, was recommended for demolition by GBA however, it is proposed to retain this in the masterplan and future development. </w:t>
      </w:r>
    </w:p>
    <w:p w14:paraId="7767DED3" w14:textId="77777777" w:rsidR="0030431B" w:rsidRPr="00871BA4" w:rsidRDefault="0030431B" w:rsidP="00A257C7">
      <w:pPr>
        <w:pStyle w:val="Body-Black"/>
        <w:rPr>
          <w:u w:val="single"/>
          <w:lang w:val="en-US"/>
        </w:rPr>
      </w:pPr>
      <w:r w:rsidRPr="00871BA4">
        <w:rPr>
          <w:u w:val="single"/>
          <w:lang w:val="en-US"/>
        </w:rPr>
        <w:t>Conclusion and Recommendations</w:t>
      </w:r>
    </w:p>
    <w:p w14:paraId="66DC2CF3" w14:textId="77777777" w:rsidR="0030431B" w:rsidRPr="00A257C7" w:rsidRDefault="0030431B" w:rsidP="00A257C7">
      <w:pPr>
        <w:pStyle w:val="Body-Black"/>
        <w:rPr>
          <w:lang w:val="en-US"/>
        </w:rPr>
      </w:pPr>
      <w:r w:rsidRPr="00A257C7">
        <w:rPr>
          <w:lang w:val="en-US"/>
        </w:rPr>
        <w:t>Eco Logical Australia make the following recommendations with respect to the existing heritage items on site:</w:t>
      </w:r>
    </w:p>
    <w:p w14:paraId="27B5607D" w14:textId="77777777" w:rsidR="0030431B" w:rsidRPr="00A257C7" w:rsidRDefault="0030431B" w:rsidP="00FC567E">
      <w:pPr>
        <w:pStyle w:val="Body-Black"/>
        <w:numPr>
          <w:ilvl w:val="0"/>
          <w:numId w:val="37"/>
        </w:numPr>
        <w:rPr>
          <w:lang w:val="en-US"/>
        </w:rPr>
      </w:pPr>
      <w:r w:rsidRPr="00A257C7">
        <w:rPr>
          <w:lang w:val="en-US"/>
        </w:rPr>
        <w:t>Structures graded as being of little and intrusive heritage significance to be demolished;</w:t>
      </w:r>
    </w:p>
    <w:p w14:paraId="744358B3" w14:textId="77777777" w:rsidR="0030431B" w:rsidRPr="00A257C7" w:rsidRDefault="0030431B" w:rsidP="00FC567E">
      <w:pPr>
        <w:pStyle w:val="Body-Black"/>
        <w:numPr>
          <w:ilvl w:val="0"/>
          <w:numId w:val="37"/>
        </w:numPr>
        <w:rPr>
          <w:lang w:val="en-US"/>
        </w:rPr>
      </w:pPr>
      <w:r w:rsidRPr="00A257C7">
        <w:rPr>
          <w:lang w:val="en-US"/>
        </w:rPr>
        <w:lastRenderedPageBreak/>
        <w:t xml:space="preserve">Areas identified as being of moderate heritage significance may be able to have their demolition justified in the context of the overall future development and the necessity for certain elements of the site to be developed within the areas these items occupy; </w:t>
      </w:r>
    </w:p>
    <w:p w14:paraId="56AEBB32" w14:textId="77777777" w:rsidR="0030431B" w:rsidRPr="00A257C7" w:rsidRDefault="0030431B" w:rsidP="00FC567E">
      <w:pPr>
        <w:pStyle w:val="Body-Black"/>
        <w:numPr>
          <w:ilvl w:val="0"/>
          <w:numId w:val="37"/>
        </w:numPr>
        <w:rPr>
          <w:lang w:val="en-US"/>
        </w:rPr>
      </w:pPr>
      <w:r w:rsidRPr="00A257C7">
        <w:rPr>
          <w:lang w:val="en-US"/>
        </w:rPr>
        <w:t xml:space="preserve">The Administration Building will be retained and adaptively re-used; </w:t>
      </w:r>
    </w:p>
    <w:p w14:paraId="085043DC" w14:textId="16A4AFED" w:rsidR="0030431B" w:rsidRPr="00A257C7" w:rsidRDefault="00871BA4" w:rsidP="00FC567E">
      <w:pPr>
        <w:pStyle w:val="Body-Black"/>
        <w:numPr>
          <w:ilvl w:val="0"/>
          <w:numId w:val="37"/>
        </w:numPr>
        <w:rPr>
          <w:lang w:val="en-US"/>
        </w:rPr>
      </w:pPr>
      <w:r>
        <w:rPr>
          <w:lang w:val="en-US"/>
        </w:rPr>
        <w:t>Th</w:t>
      </w:r>
      <w:r w:rsidR="0030431B" w:rsidRPr="00A257C7">
        <w:rPr>
          <w:lang w:val="en-US"/>
        </w:rPr>
        <w:t xml:space="preserve">e original factory buildings will be retained and re-used to enable reasonable use and interpretation within the context of future development; </w:t>
      </w:r>
    </w:p>
    <w:p w14:paraId="0A480878" w14:textId="77777777" w:rsidR="0030431B" w:rsidRPr="00A257C7" w:rsidRDefault="0030431B" w:rsidP="00FC567E">
      <w:pPr>
        <w:pStyle w:val="Body-Black"/>
        <w:numPr>
          <w:ilvl w:val="0"/>
          <w:numId w:val="37"/>
        </w:numPr>
        <w:rPr>
          <w:lang w:val="en-US"/>
        </w:rPr>
      </w:pPr>
      <w:r w:rsidRPr="00A257C7">
        <w:rPr>
          <w:lang w:val="en-US"/>
        </w:rPr>
        <w:t xml:space="preserve">Future development must consider DCP controls for the site; </w:t>
      </w:r>
    </w:p>
    <w:p w14:paraId="0879AA41" w14:textId="77777777" w:rsidR="0030431B" w:rsidRPr="00A257C7" w:rsidRDefault="0030431B" w:rsidP="00FC567E">
      <w:pPr>
        <w:pStyle w:val="Body-Black"/>
        <w:numPr>
          <w:ilvl w:val="0"/>
          <w:numId w:val="37"/>
        </w:numPr>
        <w:rPr>
          <w:lang w:val="en-US"/>
        </w:rPr>
      </w:pPr>
      <w:r w:rsidRPr="00A257C7">
        <w:rPr>
          <w:lang w:val="en-US"/>
        </w:rPr>
        <w:t xml:space="preserve">In the highly unlikely event that unexpected historical archaeological material is encountered during works, it would be necessary to stop all works in the immediate vicinity of the identified material. The NSW Heritage Council would be notified, and a qualified archaeologist would be engaged to assess the significance of the material and recommend whether further investigation is required. </w:t>
      </w:r>
    </w:p>
    <w:p w14:paraId="3E853E1B" w14:textId="77777777" w:rsidR="0030431B" w:rsidRPr="00BB6D6A" w:rsidRDefault="0030431B" w:rsidP="00A257C7">
      <w:pPr>
        <w:pStyle w:val="Body-Black"/>
        <w:rPr>
          <w:b/>
          <w:bCs/>
          <w:lang w:val="en-US"/>
        </w:rPr>
      </w:pPr>
      <w:r w:rsidRPr="00BB6D6A">
        <w:rPr>
          <w:b/>
          <w:bCs/>
          <w:lang w:val="en-US"/>
        </w:rPr>
        <w:t xml:space="preserve">Aboriginal Heritage Assessment </w:t>
      </w:r>
    </w:p>
    <w:p w14:paraId="18AC5805" w14:textId="77777777" w:rsidR="0030431B" w:rsidRPr="00A257C7" w:rsidRDefault="0030431B" w:rsidP="00A257C7">
      <w:pPr>
        <w:pStyle w:val="Body-Black"/>
        <w:rPr>
          <w:lang w:val="en-US"/>
        </w:rPr>
      </w:pPr>
      <w:r w:rsidRPr="00A257C7">
        <w:rPr>
          <w:lang w:val="en-US"/>
        </w:rPr>
        <w:t xml:space="preserve">The Aboriginal Heritage Assessment aims to identify if any Aboriginal objects are likely to be located within the study area of the proposed works and, if so, whether the proposed works will have potential harm to those objects. </w:t>
      </w:r>
    </w:p>
    <w:p w14:paraId="26B972DD" w14:textId="77777777" w:rsidR="0030431B" w:rsidRPr="00BB6D6A" w:rsidRDefault="0030431B" w:rsidP="00A257C7">
      <w:pPr>
        <w:pStyle w:val="Body-Black"/>
        <w:rPr>
          <w:u w:val="single"/>
          <w:lang w:val="en-US"/>
        </w:rPr>
      </w:pPr>
      <w:r w:rsidRPr="00BB6D6A">
        <w:rPr>
          <w:u w:val="single"/>
          <w:lang w:val="en-US"/>
        </w:rPr>
        <w:t>Assessment</w:t>
      </w:r>
    </w:p>
    <w:p w14:paraId="337840DB" w14:textId="77777777" w:rsidR="0030431B" w:rsidRPr="00A257C7" w:rsidRDefault="0030431B" w:rsidP="00A257C7">
      <w:pPr>
        <w:pStyle w:val="Body-Black"/>
        <w:rPr>
          <w:lang w:val="en-US"/>
        </w:rPr>
      </w:pPr>
      <w:r w:rsidRPr="00A257C7">
        <w:rPr>
          <w:lang w:val="en-US"/>
        </w:rPr>
        <w:t>The study identified one registered Aboriginal heritage site within 1km of the study area, located on the opposite side of the Georges River. No registered AHIMS sites are located within the study area. The report has also reviewed past Aboriginal archaeological studies within and nearby the study area, which have demonstrated the Georges Rifer as an area of high archaeological potential and a focal point of Aboriginal activity in Western Sydney in the past.</w:t>
      </w:r>
    </w:p>
    <w:p w14:paraId="275CF0B8" w14:textId="77777777" w:rsidR="0030431B" w:rsidRPr="00A257C7" w:rsidRDefault="0030431B" w:rsidP="00A257C7">
      <w:pPr>
        <w:pStyle w:val="Body-Black"/>
        <w:rPr>
          <w:lang w:val="en-US"/>
        </w:rPr>
      </w:pPr>
      <w:r w:rsidRPr="00A257C7">
        <w:rPr>
          <w:lang w:val="en-US"/>
        </w:rPr>
        <w:t>A pedestrian survey was conducted of the proposed site. The survey identified almost all areas as having been significantly disturbed by past land use. One portion of the study area, in the north western riparian corridor of the Georges River, has moderate archaeological potential due to the proximity of the Georges River and lack of development in that portion of the site.</w:t>
      </w:r>
    </w:p>
    <w:p w14:paraId="338B908C" w14:textId="77777777" w:rsidR="0030431B" w:rsidRPr="00A257C7" w:rsidRDefault="0030431B" w:rsidP="00A257C7">
      <w:pPr>
        <w:pStyle w:val="Body-Black"/>
        <w:rPr>
          <w:lang w:val="en-US"/>
        </w:rPr>
      </w:pPr>
      <w:r w:rsidRPr="00A257C7">
        <w:rPr>
          <w:noProof/>
          <w:lang w:val="en-US"/>
        </w:rPr>
        <w:lastRenderedPageBreak/>
        <w:drawing>
          <wp:inline distT="0" distB="0" distL="0" distR="0" wp14:anchorId="656AD31B" wp14:editId="4E31A2D3">
            <wp:extent cx="4320000" cy="2930653"/>
            <wp:effectExtent l="12700" t="12700" r="10795" b="158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3-17 at 2.55.33 pm.png"/>
                    <pic:cNvPicPr/>
                  </pic:nvPicPr>
                  <pic:blipFill>
                    <a:blip r:embed="rId32"/>
                    <a:stretch>
                      <a:fillRect/>
                    </a:stretch>
                  </pic:blipFill>
                  <pic:spPr>
                    <a:xfrm>
                      <a:off x="0" y="0"/>
                      <a:ext cx="4320000" cy="2930653"/>
                    </a:xfrm>
                    <a:prstGeom prst="rect">
                      <a:avLst/>
                    </a:prstGeom>
                    <a:ln>
                      <a:solidFill>
                        <a:schemeClr val="bg1">
                          <a:lumMod val="85000"/>
                        </a:schemeClr>
                      </a:solidFill>
                    </a:ln>
                  </pic:spPr>
                </pic:pic>
              </a:graphicData>
            </a:graphic>
          </wp:inline>
        </w:drawing>
      </w:r>
    </w:p>
    <w:p w14:paraId="0C350C33" w14:textId="2E725042" w:rsidR="0030431B" w:rsidRPr="00A257C7" w:rsidRDefault="0030431B" w:rsidP="00CC6F79">
      <w:pPr>
        <w:pStyle w:val="Caption"/>
        <w:keepNext/>
        <w:spacing w:line="276" w:lineRule="auto"/>
      </w:pPr>
      <w:bookmarkStart w:id="90" w:name="_Toc37862355"/>
      <w:r w:rsidRPr="00CC6F79">
        <w:rPr>
          <w:b/>
          <w:bCs/>
        </w:rPr>
        <w:t xml:space="preserve">Figure </w:t>
      </w:r>
      <w:r w:rsidR="00334458">
        <w:rPr>
          <w:b/>
          <w:bCs/>
        </w:rPr>
        <w:t>1</w:t>
      </w:r>
      <w:r w:rsidR="00FD1FDA">
        <w:rPr>
          <w:b/>
          <w:bCs/>
        </w:rPr>
        <w:t>5</w:t>
      </w:r>
      <w:r w:rsidRPr="00CC6F79">
        <w:rPr>
          <w:b/>
          <w:bCs/>
        </w:rPr>
        <w:t>:</w:t>
      </w:r>
      <w:r w:rsidRPr="00A257C7">
        <w:t xml:space="preserve"> AHIMS Sites within Study Area (Source: Eco Logical Australia)</w:t>
      </w:r>
      <w:bookmarkEnd w:id="90"/>
    </w:p>
    <w:p w14:paraId="6A21C2FD" w14:textId="77777777" w:rsidR="0030431B" w:rsidRPr="00BB6D6A" w:rsidRDefault="0030431B" w:rsidP="00A257C7">
      <w:pPr>
        <w:pStyle w:val="Body-Black"/>
        <w:rPr>
          <w:u w:val="single"/>
          <w:lang w:val="en-US"/>
        </w:rPr>
      </w:pPr>
      <w:r w:rsidRPr="00BB6D6A">
        <w:rPr>
          <w:u w:val="single"/>
          <w:lang w:val="en-US"/>
        </w:rPr>
        <w:t>Conclusion and Recommendations</w:t>
      </w:r>
    </w:p>
    <w:p w14:paraId="2C42422C" w14:textId="77777777" w:rsidR="0030431B" w:rsidRPr="00A257C7" w:rsidRDefault="0030431B" w:rsidP="00A257C7">
      <w:pPr>
        <w:pStyle w:val="Body-Black"/>
        <w:rPr>
          <w:lang w:val="en-US"/>
        </w:rPr>
      </w:pPr>
      <w:r w:rsidRPr="00A257C7">
        <w:rPr>
          <w:lang w:val="en-US"/>
        </w:rPr>
        <w:t xml:space="preserve">Eco Logical Australia advise that development is not proposed in the area noted as having moderate archaeological potential, which will be used for a planned riparian corridor. The remainder of the study area possesses low archaeological potential and no further assessment is therefore required. </w:t>
      </w:r>
    </w:p>
    <w:p w14:paraId="04F158CC" w14:textId="77777777" w:rsidR="0030431B" w:rsidRPr="00A257C7" w:rsidRDefault="0030431B" w:rsidP="00A257C7">
      <w:pPr>
        <w:pStyle w:val="Body-Black"/>
        <w:rPr>
          <w:lang w:val="en-US"/>
        </w:rPr>
      </w:pPr>
      <w:r w:rsidRPr="00A257C7">
        <w:rPr>
          <w:lang w:val="en-US"/>
        </w:rPr>
        <w:t>Nonetheless Eco Logical Australia provide the following recommendations in accordance with the National Parks and Wildlife (NP&amp;W) Act:</w:t>
      </w:r>
    </w:p>
    <w:p w14:paraId="39E8302C" w14:textId="77777777" w:rsidR="0030431B" w:rsidRPr="00A257C7" w:rsidRDefault="0030431B" w:rsidP="00A257C7">
      <w:pPr>
        <w:pStyle w:val="Body-Black"/>
        <w:rPr>
          <w:lang w:val="en-US"/>
        </w:rPr>
      </w:pPr>
      <w:r w:rsidRPr="00A257C7">
        <w:rPr>
          <w:lang w:val="en-US"/>
        </w:rPr>
        <w:t xml:space="preserve">Any potential modification to the proposed development area for the site should avoid the north western riparian corridor area identified as possessing moderate archaeological potential. If any development were proposed and could not be avoided, subsurface test excavation is recommended to determine whether the presence of Aboriginal objects is present. If objects are present and an impact is proposed, an Aboriginal Heritage Impact Permit would be required; and </w:t>
      </w:r>
    </w:p>
    <w:p w14:paraId="1B8CEC51" w14:textId="77777777" w:rsidR="0030431B" w:rsidRPr="00A257C7" w:rsidRDefault="0030431B" w:rsidP="00A257C7">
      <w:pPr>
        <w:pStyle w:val="Body-Black"/>
        <w:rPr>
          <w:lang w:val="en-US"/>
        </w:rPr>
      </w:pPr>
      <w:r w:rsidRPr="00A257C7">
        <w:rPr>
          <w:lang w:val="en-US"/>
        </w:rPr>
        <w:t xml:space="preserve">In the unlikely event that human remains are found, works should immediately cease, and the NSW Police should be contacted. If the remains are suspected to be Aboriginal, the DPIE may also be contacted at this time to assist in determining appropriate management. </w:t>
      </w:r>
    </w:p>
    <w:p w14:paraId="08529B39" w14:textId="77777777" w:rsidR="0030431B" w:rsidRPr="00BB6D6A" w:rsidRDefault="0030431B" w:rsidP="00A257C7">
      <w:pPr>
        <w:pStyle w:val="Body-Black"/>
        <w:rPr>
          <w:b/>
          <w:bCs/>
          <w:lang w:val="en-US"/>
        </w:rPr>
      </w:pPr>
      <w:bookmarkStart w:id="91" w:name="_Toc36204401"/>
      <w:bookmarkStart w:id="92" w:name="_Toc36636100"/>
      <w:bookmarkStart w:id="93" w:name="_Toc36648214"/>
      <w:bookmarkStart w:id="94" w:name="_Toc37774620"/>
      <w:r w:rsidRPr="00BB6D6A">
        <w:rPr>
          <w:b/>
          <w:bCs/>
          <w:lang w:val="en-US"/>
        </w:rPr>
        <w:t>Sustainability</w:t>
      </w:r>
      <w:bookmarkEnd w:id="91"/>
      <w:bookmarkEnd w:id="92"/>
      <w:bookmarkEnd w:id="93"/>
      <w:bookmarkEnd w:id="94"/>
    </w:p>
    <w:p w14:paraId="64198B3C" w14:textId="44922914" w:rsidR="0030431B" w:rsidRPr="00A257C7" w:rsidRDefault="0030431B" w:rsidP="00A257C7">
      <w:pPr>
        <w:pStyle w:val="Body-Black"/>
        <w:rPr>
          <w:lang w:val="en-US"/>
        </w:rPr>
      </w:pPr>
      <w:r w:rsidRPr="00A257C7">
        <w:rPr>
          <w:lang w:val="en-US"/>
        </w:rPr>
        <w:t>A Sustainability Statement has been prepared by Integral Group in support of the Planning Proposal.</w:t>
      </w:r>
    </w:p>
    <w:p w14:paraId="42FF591C" w14:textId="77777777" w:rsidR="0030431B" w:rsidRPr="00A257C7" w:rsidRDefault="0030431B" w:rsidP="00A257C7">
      <w:pPr>
        <w:pStyle w:val="Body-Black"/>
        <w:rPr>
          <w:lang w:val="en-US"/>
        </w:rPr>
      </w:pPr>
      <w:r w:rsidRPr="00A257C7">
        <w:rPr>
          <w:lang w:val="en-US"/>
        </w:rPr>
        <w:t xml:space="preserve">The statement presents a strategy for how the project will consider sustainability opportunities as it develops through planning, design and infrastructure provisioning. </w:t>
      </w:r>
    </w:p>
    <w:p w14:paraId="590A589E" w14:textId="77777777" w:rsidR="0030431B" w:rsidRPr="00A257C7" w:rsidRDefault="0030431B" w:rsidP="00A257C7">
      <w:pPr>
        <w:pStyle w:val="Body-Black"/>
        <w:rPr>
          <w:lang w:val="en-US"/>
        </w:rPr>
      </w:pPr>
      <w:r w:rsidRPr="00A257C7">
        <w:rPr>
          <w:lang w:val="en-US"/>
        </w:rPr>
        <w:t>The masterplan for the site has identified specific design opportunities for delivering a sustainable urban environment including opportunities for:</w:t>
      </w:r>
    </w:p>
    <w:p w14:paraId="7CF6903E" w14:textId="77777777" w:rsidR="0030431B" w:rsidRPr="00A257C7" w:rsidRDefault="0030431B" w:rsidP="00FC567E">
      <w:pPr>
        <w:pStyle w:val="Body-Black"/>
        <w:numPr>
          <w:ilvl w:val="0"/>
          <w:numId w:val="38"/>
        </w:numPr>
        <w:rPr>
          <w:lang w:val="en-US"/>
        </w:rPr>
      </w:pPr>
      <w:r w:rsidRPr="00A257C7">
        <w:rPr>
          <w:lang w:val="en-US"/>
        </w:rPr>
        <w:t>Rainwater catchment in parks and in the promenade of the site;</w:t>
      </w:r>
    </w:p>
    <w:p w14:paraId="1A089B7A" w14:textId="77777777" w:rsidR="0030431B" w:rsidRPr="00A257C7" w:rsidRDefault="0030431B" w:rsidP="00FC567E">
      <w:pPr>
        <w:pStyle w:val="Body-Black"/>
        <w:numPr>
          <w:ilvl w:val="0"/>
          <w:numId w:val="38"/>
        </w:numPr>
        <w:rPr>
          <w:lang w:val="en-US"/>
        </w:rPr>
      </w:pPr>
      <w:r w:rsidRPr="00A257C7">
        <w:rPr>
          <w:lang w:val="en-US"/>
        </w:rPr>
        <w:t>Green roof provisions for low-rise buildings;</w:t>
      </w:r>
    </w:p>
    <w:p w14:paraId="57416206" w14:textId="77777777" w:rsidR="0030431B" w:rsidRPr="00A257C7" w:rsidRDefault="0030431B" w:rsidP="00FC567E">
      <w:pPr>
        <w:pStyle w:val="Body-Black"/>
        <w:numPr>
          <w:ilvl w:val="0"/>
          <w:numId w:val="38"/>
        </w:numPr>
        <w:rPr>
          <w:lang w:val="en-US"/>
        </w:rPr>
      </w:pPr>
      <w:r w:rsidRPr="00A257C7">
        <w:rPr>
          <w:lang w:val="en-US"/>
        </w:rPr>
        <w:lastRenderedPageBreak/>
        <w:t>Building fabric to support passive design;</w:t>
      </w:r>
    </w:p>
    <w:p w14:paraId="025A5DB2" w14:textId="77777777" w:rsidR="0030431B" w:rsidRPr="00A257C7" w:rsidRDefault="0030431B" w:rsidP="00FC567E">
      <w:pPr>
        <w:pStyle w:val="Body-Black"/>
        <w:numPr>
          <w:ilvl w:val="0"/>
          <w:numId w:val="38"/>
        </w:numPr>
        <w:rPr>
          <w:lang w:val="en-US"/>
        </w:rPr>
      </w:pPr>
      <w:r w:rsidRPr="00A257C7">
        <w:rPr>
          <w:lang w:val="en-US"/>
        </w:rPr>
        <w:t xml:space="preserve">On-site renewable energy; </w:t>
      </w:r>
    </w:p>
    <w:p w14:paraId="5FC91D26" w14:textId="77777777" w:rsidR="0030431B" w:rsidRPr="00A257C7" w:rsidRDefault="0030431B" w:rsidP="00FC567E">
      <w:pPr>
        <w:pStyle w:val="Body-Black"/>
        <w:numPr>
          <w:ilvl w:val="0"/>
          <w:numId w:val="38"/>
        </w:numPr>
        <w:rPr>
          <w:lang w:val="en-US"/>
        </w:rPr>
      </w:pPr>
      <w:r w:rsidRPr="00A257C7">
        <w:rPr>
          <w:lang w:val="en-US"/>
        </w:rPr>
        <w:t>Use of native plants in urban green space to support biodiversity and habitat connectivity; and</w:t>
      </w:r>
    </w:p>
    <w:p w14:paraId="41703072" w14:textId="77777777" w:rsidR="0030431B" w:rsidRPr="00A257C7" w:rsidRDefault="0030431B" w:rsidP="00FC567E">
      <w:pPr>
        <w:pStyle w:val="Body-Black"/>
        <w:numPr>
          <w:ilvl w:val="0"/>
          <w:numId w:val="38"/>
        </w:numPr>
        <w:rPr>
          <w:lang w:val="en-US"/>
        </w:rPr>
      </w:pPr>
      <w:r w:rsidRPr="00A257C7">
        <w:rPr>
          <w:lang w:val="en-US"/>
        </w:rPr>
        <w:t xml:space="preserve">Land use mix – employment dividend. </w:t>
      </w:r>
    </w:p>
    <w:p w14:paraId="07FF56A4" w14:textId="3BC17F26" w:rsidR="0030431B" w:rsidRPr="00A257C7" w:rsidRDefault="0030431B" w:rsidP="00A257C7">
      <w:pPr>
        <w:pStyle w:val="Body-Black"/>
        <w:rPr>
          <w:lang w:val="en-US"/>
        </w:rPr>
      </w:pPr>
      <w:r w:rsidRPr="00A257C7">
        <w:rPr>
          <w:lang w:val="en-US"/>
        </w:rPr>
        <w:t>A place-making group will be established to drive place-making and urban design, riverfront outcomes and sustainability governance for the site. The Group will have representation from Council, the project team</w:t>
      </w:r>
      <w:r w:rsidR="00BB6D6A">
        <w:rPr>
          <w:lang w:val="en-US"/>
        </w:rPr>
        <w:t xml:space="preserve"> and relevant State agencies</w:t>
      </w:r>
      <w:r w:rsidRPr="00A257C7">
        <w:rPr>
          <w:lang w:val="en-US"/>
        </w:rPr>
        <w:t xml:space="preserve">. It will interface with the transport group for integrated land use and transport considerations. </w:t>
      </w:r>
    </w:p>
    <w:p w14:paraId="69AB8128" w14:textId="77777777" w:rsidR="0030431B" w:rsidRPr="00A257C7" w:rsidRDefault="0030431B" w:rsidP="00A257C7">
      <w:pPr>
        <w:pStyle w:val="Body-Black"/>
        <w:rPr>
          <w:lang w:val="en-US"/>
        </w:rPr>
      </w:pPr>
      <w:r w:rsidRPr="00A257C7">
        <w:rPr>
          <w:lang w:val="en-US"/>
        </w:rPr>
        <w:t>The Group will consider sustainability principles aligned with the sustainability priorities of the Place Strategy including:</w:t>
      </w:r>
    </w:p>
    <w:p w14:paraId="7386C27B" w14:textId="77777777" w:rsidR="0030431B" w:rsidRPr="00A257C7" w:rsidRDefault="0030431B" w:rsidP="00FC567E">
      <w:pPr>
        <w:pStyle w:val="Body-Black"/>
        <w:numPr>
          <w:ilvl w:val="0"/>
          <w:numId w:val="39"/>
        </w:numPr>
        <w:rPr>
          <w:lang w:val="en-US"/>
        </w:rPr>
      </w:pPr>
      <w:r w:rsidRPr="00A257C7">
        <w:rPr>
          <w:lang w:val="en-US"/>
        </w:rPr>
        <w:t xml:space="preserve">Energy efficient, renewable energy and GHG emissions reduction towards net zero emissions; </w:t>
      </w:r>
    </w:p>
    <w:p w14:paraId="13DFD88E" w14:textId="77777777" w:rsidR="0030431B" w:rsidRPr="00A257C7" w:rsidRDefault="0030431B" w:rsidP="00FC567E">
      <w:pPr>
        <w:pStyle w:val="Body-Black"/>
        <w:numPr>
          <w:ilvl w:val="0"/>
          <w:numId w:val="39"/>
        </w:numPr>
        <w:rPr>
          <w:lang w:val="en-US"/>
        </w:rPr>
      </w:pPr>
      <w:r w:rsidRPr="00A257C7">
        <w:rPr>
          <w:lang w:val="en-US"/>
        </w:rPr>
        <w:t>Water quality and stormwater improvement;</w:t>
      </w:r>
    </w:p>
    <w:p w14:paraId="0D837A68" w14:textId="77777777" w:rsidR="0030431B" w:rsidRPr="00A257C7" w:rsidRDefault="0030431B" w:rsidP="00FC567E">
      <w:pPr>
        <w:pStyle w:val="Body-Black"/>
        <w:numPr>
          <w:ilvl w:val="0"/>
          <w:numId w:val="39"/>
        </w:numPr>
        <w:rPr>
          <w:lang w:val="en-US"/>
        </w:rPr>
      </w:pPr>
      <w:r w:rsidRPr="00A257C7">
        <w:rPr>
          <w:lang w:val="en-US"/>
        </w:rPr>
        <w:t xml:space="preserve">Waste, materials and the circular economy; </w:t>
      </w:r>
    </w:p>
    <w:p w14:paraId="07FBB1D0" w14:textId="77777777" w:rsidR="0030431B" w:rsidRPr="00A257C7" w:rsidRDefault="0030431B" w:rsidP="00FC567E">
      <w:pPr>
        <w:pStyle w:val="Body-Black"/>
        <w:numPr>
          <w:ilvl w:val="0"/>
          <w:numId w:val="39"/>
        </w:numPr>
        <w:rPr>
          <w:lang w:val="en-US"/>
        </w:rPr>
      </w:pPr>
      <w:r w:rsidRPr="00A257C7">
        <w:rPr>
          <w:lang w:val="en-US"/>
        </w:rPr>
        <w:t>Climate change risk mitigation including heat and flood risks;</w:t>
      </w:r>
    </w:p>
    <w:p w14:paraId="5DE13DB8" w14:textId="77777777" w:rsidR="0030431B" w:rsidRPr="00A257C7" w:rsidRDefault="0030431B" w:rsidP="00FC567E">
      <w:pPr>
        <w:pStyle w:val="Body-Black"/>
        <w:numPr>
          <w:ilvl w:val="0"/>
          <w:numId w:val="39"/>
        </w:numPr>
        <w:rPr>
          <w:lang w:val="en-US"/>
        </w:rPr>
      </w:pPr>
      <w:r w:rsidRPr="00A257C7">
        <w:rPr>
          <w:lang w:val="en-US"/>
        </w:rPr>
        <w:t xml:space="preserve">Reduced reliance on private cars with support for active mobility; </w:t>
      </w:r>
    </w:p>
    <w:p w14:paraId="2509AEC9" w14:textId="77777777" w:rsidR="0030431B" w:rsidRPr="00A257C7" w:rsidRDefault="0030431B" w:rsidP="00FC567E">
      <w:pPr>
        <w:pStyle w:val="Body-Black"/>
        <w:numPr>
          <w:ilvl w:val="0"/>
          <w:numId w:val="39"/>
        </w:numPr>
        <w:rPr>
          <w:lang w:val="en-US"/>
        </w:rPr>
      </w:pPr>
      <w:r w:rsidRPr="00A257C7">
        <w:rPr>
          <w:lang w:val="en-US"/>
        </w:rPr>
        <w:t>Support high amenity public places with canopy cover, green infrastructure and activation; and</w:t>
      </w:r>
    </w:p>
    <w:p w14:paraId="1A62ABE2" w14:textId="284D0046" w:rsidR="00694452" w:rsidRPr="00BB6D6A" w:rsidRDefault="0030431B" w:rsidP="00FC567E">
      <w:pPr>
        <w:pStyle w:val="Body-Black"/>
        <w:numPr>
          <w:ilvl w:val="0"/>
          <w:numId w:val="39"/>
        </w:numPr>
        <w:rPr>
          <w:lang w:val="en-US"/>
        </w:rPr>
      </w:pPr>
      <w:r w:rsidRPr="00A257C7">
        <w:rPr>
          <w:lang w:val="en-US"/>
        </w:rPr>
        <w:t xml:space="preserve">Supporting connected green spaces and urban biodiversity. </w:t>
      </w:r>
    </w:p>
    <w:p w14:paraId="06FBC013" w14:textId="77777777" w:rsidR="005A398A" w:rsidRPr="00851E9E" w:rsidRDefault="005A398A" w:rsidP="004F5AA0">
      <w:pPr>
        <w:pStyle w:val="Sub-Heading2-Purple"/>
        <w:numPr>
          <w:ilvl w:val="0"/>
          <w:numId w:val="1"/>
        </w:numPr>
        <w:spacing w:line="276" w:lineRule="auto"/>
      </w:pPr>
      <w:r w:rsidRPr="00851E9E">
        <w:t>Has the planning proposal adequately addressed any social and economic effects?</w:t>
      </w:r>
    </w:p>
    <w:p w14:paraId="3CB1350A" w14:textId="77777777" w:rsidR="00484540" w:rsidRPr="00484540" w:rsidRDefault="00484540" w:rsidP="00484540">
      <w:pPr>
        <w:pStyle w:val="Body-Black"/>
        <w:rPr>
          <w:b/>
          <w:bCs/>
          <w:lang w:val="en-US"/>
        </w:rPr>
      </w:pPr>
      <w:r w:rsidRPr="00484540">
        <w:rPr>
          <w:b/>
          <w:bCs/>
          <w:lang w:val="en-US"/>
        </w:rPr>
        <w:t>Social</w:t>
      </w:r>
    </w:p>
    <w:p w14:paraId="754C87E3" w14:textId="30CEBAFF" w:rsidR="00484540" w:rsidRPr="00484540" w:rsidRDefault="00484540" w:rsidP="00484540">
      <w:pPr>
        <w:pStyle w:val="Body-Black"/>
        <w:rPr>
          <w:lang w:val="en-US"/>
        </w:rPr>
      </w:pPr>
      <w:r w:rsidRPr="00484540">
        <w:rPr>
          <w:lang w:val="en-US"/>
        </w:rPr>
        <w:t xml:space="preserve">A Community Benefits Analysis (CBA) has been prepared by Cred in support of the Planning Proposal. </w:t>
      </w:r>
    </w:p>
    <w:p w14:paraId="140605B4" w14:textId="05E8A5ED" w:rsidR="00484540" w:rsidRPr="00484540" w:rsidRDefault="00484540" w:rsidP="00484540">
      <w:pPr>
        <w:pStyle w:val="Body-Black"/>
        <w:rPr>
          <w:lang w:val="en-US"/>
        </w:rPr>
      </w:pPr>
      <w:r w:rsidRPr="00484540">
        <w:rPr>
          <w:lang w:val="en-US"/>
        </w:rPr>
        <w:t>The CBA assesses the community benefits that could be delivered through the proposal to support a socially sustainable, resilient and connected community and place. Key findings are the report are summarised below.</w:t>
      </w:r>
    </w:p>
    <w:p w14:paraId="46159625" w14:textId="39C6BD46" w:rsidR="00484540" w:rsidRPr="00484540" w:rsidRDefault="00484540" w:rsidP="00484540">
      <w:pPr>
        <w:pStyle w:val="Body-Black"/>
        <w:rPr>
          <w:lang w:val="en-US"/>
        </w:rPr>
      </w:pPr>
      <w:r w:rsidRPr="00484540">
        <w:rPr>
          <w:lang w:val="en-US"/>
        </w:rPr>
        <w:t>The CBA assumes the rezoned site will provide 530 dwellings each year beginning mid-2023. This yields approximately 6,900 dwellings by mid-2036</w:t>
      </w:r>
      <w:r>
        <w:rPr>
          <w:lang w:val="en-US"/>
        </w:rPr>
        <w:t>.</w:t>
      </w:r>
      <w:r w:rsidRPr="00484540">
        <w:rPr>
          <w:lang w:val="en-US"/>
        </w:rPr>
        <w:t xml:space="preserve"> </w:t>
      </w:r>
    </w:p>
    <w:p w14:paraId="452DD56B" w14:textId="6B3F7ADE" w:rsidR="00484540" w:rsidRPr="00484540" w:rsidRDefault="00484540" w:rsidP="00484540">
      <w:pPr>
        <w:pStyle w:val="Body-Black"/>
        <w:rPr>
          <w:lang w:val="en-US"/>
        </w:rPr>
      </w:pPr>
      <w:r w:rsidRPr="00484540">
        <w:rPr>
          <w:lang w:val="en-US"/>
        </w:rPr>
        <w:t>By 2051</w:t>
      </w:r>
      <w:r w:rsidR="000B4D80">
        <w:rPr>
          <w:lang w:val="en-US"/>
        </w:rPr>
        <w:t>,</w:t>
      </w:r>
      <w:r w:rsidRPr="00484540">
        <w:rPr>
          <w:lang w:val="en-US"/>
        </w:rPr>
        <w:t xml:space="preserve"> </w:t>
      </w:r>
      <w:r w:rsidR="006A58EE">
        <w:rPr>
          <w:lang w:val="en-US"/>
        </w:rPr>
        <w:t>30,760</w:t>
      </w:r>
      <w:r w:rsidRPr="00484540">
        <w:rPr>
          <w:lang w:val="en-US"/>
        </w:rPr>
        <w:t xml:space="preserve"> </w:t>
      </w:r>
      <w:r w:rsidR="000B4D80">
        <w:rPr>
          <w:lang w:val="en-US"/>
        </w:rPr>
        <w:t>residents will live</w:t>
      </w:r>
      <w:r w:rsidRPr="00484540">
        <w:rPr>
          <w:lang w:val="en-US"/>
        </w:rPr>
        <w:t xml:space="preserve"> within Moore Point. The forecast population for the site will be a young population, home to young professionals aged 25 to 34, and new home builders aged 35 to 49. </w:t>
      </w:r>
    </w:p>
    <w:p w14:paraId="0A614AC2" w14:textId="77777777" w:rsidR="00484540" w:rsidRPr="00484540" w:rsidRDefault="00484540" w:rsidP="00484540">
      <w:pPr>
        <w:pStyle w:val="Body-Black"/>
        <w:rPr>
          <w:lang w:val="en-US"/>
        </w:rPr>
      </w:pPr>
      <w:r w:rsidRPr="00484540">
        <w:rPr>
          <w:lang w:val="en-US"/>
        </w:rPr>
        <w:t xml:space="preserve">It is therefore important that the envisaged masterplan delivers unique social infrastructure facilities capable of supporting the prospective demographic and contributing the quality and character of the site and its positive impact on the surrounding area.  </w:t>
      </w:r>
    </w:p>
    <w:p w14:paraId="26680A66" w14:textId="77777777" w:rsidR="005362D2" w:rsidRDefault="005362D2" w:rsidP="00484540">
      <w:pPr>
        <w:pStyle w:val="Body-Black"/>
        <w:rPr>
          <w:u w:val="single"/>
          <w:lang w:val="en-US"/>
        </w:rPr>
      </w:pPr>
    </w:p>
    <w:p w14:paraId="0E93B638" w14:textId="77777777" w:rsidR="005362D2" w:rsidRDefault="005362D2" w:rsidP="00484540">
      <w:pPr>
        <w:pStyle w:val="Body-Black"/>
        <w:rPr>
          <w:u w:val="single"/>
          <w:lang w:val="en-US"/>
        </w:rPr>
      </w:pPr>
    </w:p>
    <w:p w14:paraId="517DA2A2" w14:textId="0063C546" w:rsidR="00484540" w:rsidRPr="000B4D80" w:rsidRDefault="00484540" w:rsidP="00484540">
      <w:pPr>
        <w:pStyle w:val="Body-Black"/>
        <w:rPr>
          <w:u w:val="single"/>
          <w:lang w:val="en-US"/>
        </w:rPr>
      </w:pPr>
      <w:r w:rsidRPr="000B4D80">
        <w:rPr>
          <w:u w:val="single"/>
          <w:lang w:val="en-US"/>
        </w:rPr>
        <w:lastRenderedPageBreak/>
        <w:t xml:space="preserve">Community Benefit Opportunities  </w:t>
      </w:r>
    </w:p>
    <w:p w14:paraId="5BD4F67E" w14:textId="77777777" w:rsidR="00484540" w:rsidRPr="00484540" w:rsidRDefault="00484540" w:rsidP="00484540">
      <w:pPr>
        <w:pStyle w:val="Body-Black"/>
        <w:rPr>
          <w:lang w:val="en-US"/>
        </w:rPr>
      </w:pPr>
      <w:r w:rsidRPr="00484540">
        <w:rPr>
          <w:lang w:val="en-US"/>
        </w:rPr>
        <w:t>The following community and place benefits are identified by Cred to support the delivery of a sustainable and resilient place and community including:</w:t>
      </w:r>
    </w:p>
    <w:p w14:paraId="14013138" w14:textId="77777777" w:rsidR="00484540" w:rsidRPr="00484540" w:rsidRDefault="00484540" w:rsidP="00FC567E">
      <w:pPr>
        <w:pStyle w:val="Meconetext"/>
        <w:numPr>
          <w:ilvl w:val="0"/>
          <w:numId w:val="25"/>
        </w:numPr>
        <w:rPr>
          <w:rFonts w:ascii="Arial" w:hAnsi="Arial"/>
        </w:rPr>
      </w:pPr>
      <w:r w:rsidRPr="00484540">
        <w:rPr>
          <w:rFonts w:ascii="Arial" w:hAnsi="Arial"/>
        </w:rPr>
        <w:t>New multipurpose community hub – approx. 2000m</w:t>
      </w:r>
      <w:r w:rsidRPr="00484540">
        <w:rPr>
          <w:rFonts w:ascii="Arial" w:hAnsi="Arial"/>
          <w:vertAlign w:val="superscript"/>
        </w:rPr>
        <w:t>2</w:t>
      </w:r>
      <w:r w:rsidRPr="00484540">
        <w:rPr>
          <w:rFonts w:ascii="Arial" w:hAnsi="Arial"/>
        </w:rPr>
        <w:t>;</w:t>
      </w:r>
    </w:p>
    <w:p w14:paraId="0CC9E4F9" w14:textId="77777777" w:rsidR="00484540" w:rsidRPr="00484540" w:rsidRDefault="00484540" w:rsidP="00FC567E">
      <w:pPr>
        <w:pStyle w:val="Meconetext"/>
        <w:numPr>
          <w:ilvl w:val="0"/>
          <w:numId w:val="25"/>
        </w:numPr>
        <w:rPr>
          <w:rFonts w:ascii="Arial" w:hAnsi="Arial"/>
        </w:rPr>
      </w:pPr>
      <w:r w:rsidRPr="00484540">
        <w:rPr>
          <w:rFonts w:ascii="Arial" w:hAnsi="Arial"/>
        </w:rPr>
        <w:t>New local facility with indoor and outdoor space – approx. 400m</w:t>
      </w:r>
      <w:r w:rsidRPr="00484540">
        <w:rPr>
          <w:rFonts w:ascii="Arial" w:hAnsi="Arial"/>
          <w:vertAlign w:val="superscript"/>
        </w:rPr>
        <w:t>2</w:t>
      </w:r>
      <w:r w:rsidRPr="00484540">
        <w:rPr>
          <w:rFonts w:ascii="Arial" w:hAnsi="Arial"/>
        </w:rPr>
        <w:t>;</w:t>
      </w:r>
    </w:p>
    <w:p w14:paraId="3861DDB4" w14:textId="77777777" w:rsidR="00484540" w:rsidRPr="00484540" w:rsidRDefault="00484540" w:rsidP="00FC567E">
      <w:pPr>
        <w:pStyle w:val="Meconetext"/>
        <w:numPr>
          <w:ilvl w:val="0"/>
          <w:numId w:val="25"/>
        </w:numPr>
        <w:rPr>
          <w:rFonts w:ascii="Arial" w:hAnsi="Arial"/>
        </w:rPr>
      </w:pPr>
      <w:r w:rsidRPr="00484540">
        <w:rPr>
          <w:rFonts w:ascii="Arial" w:hAnsi="Arial"/>
        </w:rPr>
        <w:t>Repurposing Moorebank Library and Community Centre to a district level multipurpose library facility – approx. 598m</w:t>
      </w:r>
      <w:r w:rsidRPr="00484540">
        <w:rPr>
          <w:rFonts w:ascii="Arial" w:hAnsi="Arial"/>
          <w:vertAlign w:val="superscript"/>
        </w:rPr>
        <w:t>2</w:t>
      </w:r>
      <w:r w:rsidRPr="00484540">
        <w:rPr>
          <w:rFonts w:ascii="Arial" w:hAnsi="Arial"/>
        </w:rPr>
        <w:t xml:space="preserve"> to 2036 and 1,365m</w:t>
      </w:r>
      <w:r w:rsidRPr="00484540">
        <w:rPr>
          <w:rFonts w:ascii="Arial" w:hAnsi="Arial"/>
          <w:vertAlign w:val="superscript"/>
        </w:rPr>
        <w:t>2</w:t>
      </w:r>
      <w:r w:rsidRPr="00484540">
        <w:rPr>
          <w:rFonts w:ascii="Arial" w:hAnsi="Arial"/>
        </w:rPr>
        <w:t xml:space="preserve"> to 2051; </w:t>
      </w:r>
    </w:p>
    <w:p w14:paraId="1D83138A"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Deliver 1 new primary school, including Out of School Hours Care built facility; </w:t>
      </w:r>
    </w:p>
    <w:p w14:paraId="4891641B" w14:textId="77777777" w:rsidR="00484540" w:rsidRPr="00484540" w:rsidRDefault="00484540" w:rsidP="00FC567E">
      <w:pPr>
        <w:pStyle w:val="Meconetext"/>
        <w:numPr>
          <w:ilvl w:val="0"/>
          <w:numId w:val="25"/>
        </w:numPr>
        <w:rPr>
          <w:rFonts w:ascii="Arial" w:hAnsi="Arial"/>
        </w:rPr>
      </w:pPr>
      <w:r w:rsidRPr="00484540">
        <w:rPr>
          <w:rFonts w:ascii="Arial" w:hAnsi="Arial"/>
        </w:rPr>
        <w:t>Provision of quality early education and childcare centres (under 90 places);</w:t>
      </w:r>
    </w:p>
    <w:p w14:paraId="0CBA4AE2"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Deliver a total of at least 7.7. hectares of new quality open space. Should be delivered as 6.2 hectare of local parks of a minimum size of 0.3 hectares to 0.5 hectares. Parks should be within 200m of resident homes; </w:t>
      </w:r>
    </w:p>
    <w:p w14:paraId="61D7893B" w14:textId="77777777" w:rsidR="00484540" w:rsidRPr="00484540" w:rsidRDefault="00484540" w:rsidP="00FC567E">
      <w:pPr>
        <w:pStyle w:val="Meconetext"/>
        <w:numPr>
          <w:ilvl w:val="0"/>
          <w:numId w:val="25"/>
        </w:numPr>
        <w:rPr>
          <w:rFonts w:ascii="Arial" w:hAnsi="Arial"/>
        </w:rPr>
      </w:pPr>
      <w:r w:rsidRPr="00484540">
        <w:rPr>
          <w:rFonts w:ascii="Arial" w:hAnsi="Arial"/>
        </w:rPr>
        <w:t>Deliver up to 3 new (or embellished) district sports-fields including:</w:t>
      </w:r>
    </w:p>
    <w:p w14:paraId="24B88110" w14:textId="77777777" w:rsidR="00484540" w:rsidRPr="00484540" w:rsidRDefault="00484540" w:rsidP="00FC567E">
      <w:pPr>
        <w:pStyle w:val="Meconetext"/>
        <w:numPr>
          <w:ilvl w:val="1"/>
          <w:numId w:val="25"/>
        </w:numPr>
        <w:rPr>
          <w:rFonts w:ascii="Arial" w:hAnsi="Arial"/>
        </w:rPr>
      </w:pPr>
      <w:r w:rsidRPr="00484540">
        <w:rPr>
          <w:rFonts w:ascii="Arial" w:hAnsi="Arial"/>
        </w:rPr>
        <w:t xml:space="preserve">1 new sports-field space within the precinct up to 2051; </w:t>
      </w:r>
    </w:p>
    <w:p w14:paraId="553C1A7A" w14:textId="77777777" w:rsidR="00484540" w:rsidRPr="00484540" w:rsidRDefault="00484540" w:rsidP="00FC567E">
      <w:pPr>
        <w:pStyle w:val="Meconetext"/>
        <w:numPr>
          <w:ilvl w:val="1"/>
          <w:numId w:val="25"/>
        </w:numPr>
        <w:rPr>
          <w:rFonts w:ascii="Arial" w:hAnsi="Arial"/>
        </w:rPr>
      </w:pPr>
      <w:r w:rsidRPr="00484540">
        <w:rPr>
          <w:rFonts w:ascii="Arial" w:hAnsi="Arial"/>
        </w:rPr>
        <w:t xml:space="preserve">Embellishments to Haigh Park to deliver additional sports-fields for informal team sports by 2036; </w:t>
      </w:r>
    </w:p>
    <w:p w14:paraId="7DD0A816" w14:textId="77777777" w:rsidR="00484540" w:rsidRPr="00484540" w:rsidRDefault="00484540" w:rsidP="00FC567E">
      <w:pPr>
        <w:pStyle w:val="Meconetext"/>
        <w:numPr>
          <w:ilvl w:val="1"/>
          <w:numId w:val="25"/>
        </w:numPr>
        <w:rPr>
          <w:rFonts w:ascii="Arial" w:hAnsi="Arial"/>
        </w:rPr>
      </w:pPr>
      <w:r w:rsidRPr="00484540">
        <w:rPr>
          <w:rFonts w:ascii="Arial" w:hAnsi="Arial"/>
        </w:rPr>
        <w:t xml:space="preserve">Protection and enhancement of Satyam Ghat. </w:t>
      </w:r>
    </w:p>
    <w:p w14:paraId="48CD582A"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Up to 4.5/5 playgrounds for young children (0 to 4) by 2051 and up to 4 playgrounds for older children (5 to 11) by 2051 located throughout the precinct next to new open spaces; </w:t>
      </w:r>
    </w:p>
    <w:p w14:paraId="08BC2CFC"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Up to 1 regional/district level outdoor youth recreation precinct. This could be provided through embellishment to existing Kelso Skate Park or through a new youth focused outdoor recreation space; </w:t>
      </w:r>
    </w:p>
    <w:p w14:paraId="36167E56"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1 indoor recreation centre providing up to 4 indoor courts that support a range of culturally appropriate sports such as futsal, indoor volleyball, badminton and table tennis; </w:t>
      </w:r>
    </w:p>
    <w:p w14:paraId="17F98B53"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Provision of a water launch point for passive boating and viewing decks for passive recreation and fishing at Lake Moore; </w:t>
      </w:r>
    </w:p>
    <w:p w14:paraId="5B62C013"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Communal pools or a contribution to improving facilities at Whitlam Centre; </w:t>
      </w:r>
    </w:p>
    <w:p w14:paraId="766F7955" w14:textId="77777777" w:rsidR="00484540" w:rsidRPr="00484540" w:rsidRDefault="00484540" w:rsidP="00FC567E">
      <w:pPr>
        <w:pStyle w:val="Meconetext"/>
        <w:numPr>
          <w:ilvl w:val="0"/>
          <w:numId w:val="25"/>
        </w:numPr>
        <w:rPr>
          <w:rFonts w:ascii="Arial" w:hAnsi="Arial"/>
        </w:rPr>
      </w:pPr>
      <w:r w:rsidRPr="00484540">
        <w:rPr>
          <w:rFonts w:ascii="Arial" w:hAnsi="Arial"/>
        </w:rPr>
        <w:t>Provision of communal facilities within residential towers; and</w:t>
      </w:r>
    </w:p>
    <w:p w14:paraId="2D8EA951" w14:textId="77777777" w:rsidR="00484540" w:rsidRPr="00484540" w:rsidRDefault="00484540" w:rsidP="00FC567E">
      <w:pPr>
        <w:pStyle w:val="Meconetext"/>
        <w:numPr>
          <w:ilvl w:val="0"/>
          <w:numId w:val="25"/>
        </w:numPr>
        <w:rPr>
          <w:rFonts w:ascii="Arial" w:hAnsi="Arial"/>
        </w:rPr>
      </w:pPr>
      <w:r w:rsidRPr="00484540">
        <w:rPr>
          <w:rFonts w:ascii="Arial" w:hAnsi="Arial"/>
        </w:rPr>
        <w:t xml:space="preserve">Affordable housing for key workers. </w:t>
      </w:r>
    </w:p>
    <w:p w14:paraId="55025095" w14:textId="1002967E" w:rsidR="00484540" w:rsidRPr="000B4D80" w:rsidRDefault="003E4B90" w:rsidP="000B4D80">
      <w:pPr>
        <w:pStyle w:val="Body-Black"/>
        <w:rPr>
          <w:lang w:val="en-US"/>
        </w:rPr>
      </w:pPr>
      <w:r>
        <w:rPr>
          <w:lang w:val="en-US"/>
        </w:rPr>
        <w:br/>
      </w:r>
      <w:r w:rsidR="00484540" w:rsidRPr="003E4B90">
        <w:rPr>
          <w:lang w:val="en-US"/>
        </w:rPr>
        <w:t xml:space="preserve">The Planning Proposal is capable of delivering upon many, if not all, of the community infrastructure items recommended by Cred and are detailed within the masterplan.  The Placemaking Working Group may provide advice on the location of community infrastructure items. Some of these will be delivered off site through contributions to existing facilities and their enhancement. Infrastructure funding for </w:t>
      </w:r>
      <w:r w:rsidR="00484540" w:rsidRPr="000B4D80">
        <w:rPr>
          <w:lang w:val="en-US"/>
        </w:rPr>
        <w:t>specific</w:t>
      </w:r>
      <w:r w:rsidR="00484540" w:rsidRPr="003E4B90">
        <w:rPr>
          <w:lang w:val="en-US"/>
        </w:rPr>
        <w:t xml:space="preserve"> items will be dealt with separately through a site-specific Section 7.11 Contributions Plan to be prepared in </w:t>
      </w:r>
      <w:r w:rsidR="00484540" w:rsidRPr="000B4D80">
        <w:rPr>
          <w:lang w:val="en-US"/>
        </w:rPr>
        <w:t xml:space="preserve">collaboration with Council following Gateway Determination. </w:t>
      </w:r>
    </w:p>
    <w:p w14:paraId="54DA3AE5" w14:textId="77777777" w:rsidR="00484540" w:rsidRPr="000B4D80" w:rsidRDefault="00484540" w:rsidP="000B4D80">
      <w:pPr>
        <w:pStyle w:val="Body-Black"/>
        <w:rPr>
          <w:b/>
          <w:bCs/>
          <w:lang w:val="en-US"/>
        </w:rPr>
      </w:pPr>
      <w:r w:rsidRPr="000B4D80">
        <w:rPr>
          <w:b/>
          <w:bCs/>
          <w:lang w:val="en-US"/>
        </w:rPr>
        <w:t>Economic</w:t>
      </w:r>
    </w:p>
    <w:p w14:paraId="53124A11" w14:textId="6CACFED4" w:rsidR="00484540" w:rsidRPr="000B4D80" w:rsidRDefault="00484540" w:rsidP="000B4D80">
      <w:pPr>
        <w:pStyle w:val="Body-Black"/>
        <w:rPr>
          <w:lang w:val="en-US"/>
        </w:rPr>
      </w:pPr>
      <w:r w:rsidRPr="000B4D80">
        <w:rPr>
          <w:lang w:val="en-US"/>
        </w:rPr>
        <w:t xml:space="preserve">An Economic Impact Assessment (EIA) has been prepared by Hill PDA in support of the Planning Proposal. </w:t>
      </w:r>
    </w:p>
    <w:p w14:paraId="7FB05712" w14:textId="77777777" w:rsidR="00484540" w:rsidRPr="000B4D80" w:rsidRDefault="00484540" w:rsidP="000B4D80">
      <w:pPr>
        <w:pStyle w:val="Body-Black"/>
        <w:rPr>
          <w:lang w:val="en-US"/>
        </w:rPr>
      </w:pPr>
      <w:r w:rsidRPr="000B4D80">
        <w:rPr>
          <w:lang w:val="en-US"/>
        </w:rPr>
        <w:t xml:space="preserve">The report provides an independent economic assessment of site and quantifies the economic impact or benefits of that the masterplan would provide over that already generated on the site under its current industrial zoning. </w:t>
      </w:r>
    </w:p>
    <w:p w14:paraId="2B095922" w14:textId="77777777" w:rsidR="00484540" w:rsidRPr="000B4D80" w:rsidRDefault="00484540" w:rsidP="000B4D80">
      <w:pPr>
        <w:pStyle w:val="Body-Black"/>
        <w:rPr>
          <w:lang w:val="en-US"/>
        </w:rPr>
      </w:pPr>
      <w:r w:rsidRPr="000B4D80">
        <w:rPr>
          <w:lang w:val="en-US"/>
        </w:rPr>
        <w:lastRenderedPageBreak/>
        <w:t xml:space="preserve">This section does not cover the loss of industrial land or relocation of urban services, as this has been discussed at other relevant sections. </w:t>
      </w:r>
    </w:p>
    <w:p w14:paraId="20AD301D" w14:textId="77777777" w:rsidR="00484540" w:rsidRPr="003E4B90" w:rsidRDefault="00484540" w:rsidP="000B4D80">
      <w:pPr>
        <w:pStyle w:val="Body-Black"/>
        <w:rPr>
          <w:u w:val="single"/>
          <w:lang w:val="en-US"/>
        </w:rPr>
      </w:pPr>
      <w:r w:rsidRPr="003E4B90">
        <w:rPr>
          <w:u w:val="single"/>
          <w:lang w:val="en-US"/>
        </w:rPr>
        <w:t>Economic Benefits (During Construction)</w:t>
      </w:r>
    </w:p>
    <w:p w14:paraId="2F1B9C4E" w14:textId="77777777" w:rsidR="00484540" w:rsidRPr="000B4D80" w:rsidRDefault="00484540" w:rsidP="000B4D80">
      <w:pPr>
        <w:pStyle w:val="Body-Black"/>
        <w:rPr>
          <w:lang w:val="en-US"/>
        </w:rPr>
      </w:pPr>
      <w:r w:rsidRPr="000B4D80">
        <w:rPr>
          <w:lang w:val="en-US"/>
        </w:rPr>
        <w:t>Based on a construction cost of $8.72 billion and construction life span 30 to 40 years, the economic benefits resulting from the Planning Proposal are estimated at:</w:t>
      </w:r>
    </w:p>
    <w:p w14:paraId="51483906" w14:textId="77777777" w:rsidR="00484540" w:rsidRPr="000B4D80" w:rsidRDefault="00484540" w:rsidP="00FC567E">
      <w:pPr>
        <w:pStyle w:val="Body-Black"/>
        <w:numPr>
          <w:ilvl w:val="0"/>
          <w:numId w:val="41"/>
        </w:numPr>
        <w:rPr>
          <w:lang w:val="en-US"/>
        </w:rPr>
      </w:pPr>
      <w:r w:rsidRPr="000B4D80">
        <w:rPr>
          <w:lang w:val="en-US"/>
        </w:rPr>
        <w:t>$11.2 billion of activity in production induced effects;</w:t>
      </w:r>
    </w:p>
    <w:p w14:paraId="5AC0691B" w14:textId="77777777" w:rsidR="00484540" w:rsidRPr="000B4D80" w:rsidRDefault="00484540" w:rsidP="00FC567E">
      <w:pPr>
        <w:pStyle w:val="Body-Black"/>
        <w:numPr>
          <w:ilvl w:val="0"/>
          <w:numId w:val="41"/>
        </w:numPr>
        <w:rPr>
          <w:lang w:val="en-US"/>
        </w:rPr>
      </w:pPr>
      <w:r w:rsidRPr="000B4D80">
        <w:rPr>
          <w:lang w:val="en-US"/>
        </w:rPr>
        <w:t>$7.9 billion in consumption induced effects;</w:t>
      </w:r>
    </w:p>
    <w:p w14:paraId="228D070E" w14:textId="77777777" w:rsidR="00484540" w:rsidRPr="000B4D80" w:rsidRDefault="00484540" w:rsidP="00FC567E">
      <w:pPr>
        <w:pStyle w:val="Body-Black"/>
        <w:numPr>
          <w:ilvl w:val="0"/>
          <w:numId w:val="41"/>
        </w:numPr>
        <w:rPr>
          <w:lang w:val="en-US"/>
        </w:rPr>
      </w:pPr>
      <w:r w:rsidRPr="000B4D80">
        <w:rPr>
          <w:lang w:val="en-US"/>
        </w:rPr>
        <w:t xml:space="preserve">Total economic activity generated by the construction of the proposed masterplan of around $27.8 billion; </w:t>
      </w:r>
    </w:p>
    <w:p w14:paraId="17545A30" w14:textId="77777777" w:rsidR="00484540" w:rsidRPr="000B4D80" w:rsidRDefault="00484540" w:rsidP="00FC567E">
      <w:pPr>
        <w:pStyle w:val="Body-Black"/>
        <w:numPr>
          <w:ilvl w:val="0"/>
          <w:numId w:val="41"/>
        </w:numPr>
        <w:rPr>
          <w:lang w:val="en-US"/>
        </w:rPr>
      </w:pPr>
      <w:r w:rsidRPr="000B4D80">
        <w:rPr>
          <w:lang w:val="en-US"/>
        </w:rPr>
        <w:t>21,762 job years, equating to 544 and 725 jobs generated directly per annum;</w:t>
      </w:r>
    </w:p>
    <w:p w14:paraId="1A149C76" w14:textId="411DFDA0" w:rsidR="00484540" w:rsidRPr="000B4D80" w:rsidRDefault="00484540" w:rsidP="00FC567E">
      <w:pPr>
        <w:pStyle w:val="Body-Black"/>
        <w:numPr>
          <w:ilvl w:val="0"/>
          <w:numId w:val="41"/>
        </w:numPr>
        <w:rPr>
          <w:lang w:val="en-US"/>
        </w:rPr>
      </w:pPr>
      <w:r w:rsidRPr="000B4D80">
        <w:rPr>
          <w:lang w:val="en-US"/>
        </w:rPr>
        <w:t xml:space="preserve">87,503 job years, equating to 2,185 and 2,913 jobs generated directly and indirectly per annum; </w:t>
      </w:r>
      <w:r w:rsidR="00E41B78">
        <w:rPr>
          <w:lang w:val="en-US"/>
        </w:rPr>
        <w:t>and</w:t>
      </w:r>
    </w:p>
    <w:p w14:paraId="23C3171D" w14:textId="77777777" w:rsidR="00484540" w:rsidRPr="000B4D80" w:rsidRDefault="00484540" w:rsidP="00FC567E">
      <w:pPr>
        <w:pStyle w:val="Body-Black"/>
        <w:numPr>
          <w:ilvl w:val="0"/>
          <w:numId w:val="41"/>
        </w:numPr>
        <w:rPr>
          <w:lang w:val="en-US"/>
        </w:rPr>
      </w:pPr>
      <w:r w:rsidRPr="000B4D80">
        <w:rPr>
          <w:lang w:val="en-US"/>
        </w:rPr>
        <w:t xml:space="preserve">Around $50 million of additional retail expenditure from construction workers on-site during the period of construction. This equates to around $1.3 to $1.7 million per annum over the construction period. The majority of this would be captured by local retailers. </w:t>
      </w:r>
    </w:p>
    <w:p w14:paraId="0E5A6883" w14:textId="77777777" w:rsidR="00484540" w:rsidRPr="00E41B78" w:rsidRDefault="00484540" w:rsidP="000B4D80">
      <w:pPr>
        <w:pStyle w:val="Body-Black"/>
        <w:rPr>
          <w:u w:val="single"/>
          <w:lang w:val="en-US"/>
        </w:rPr>
      </w:pPr>
      <w:r w:rsidRPr="00E41B78">
        <w:rPr>
          <w:u w:val="single"/>
          <w:lang w:val="en-US"/>
        </w:rPr>
        <w:t xml:space="preserve">Economic Benefits (Post Construction) </w:t>
      </w:r>
    </w:p>
    <w:p w14:paraId="3D682D2D" w14:textId="77777777" w:rsidR="00484540" w:rsidRPr="000B4D80" w:rsidRDefault="00484540" w:rsidP="000B4D80">
      <w:pPr>
        <w:pStyle w:val="Body-Black"/>
        <w:rPr>
          <w:lang w:val="en-US"/>
        </w:rPr>
      </w:pPr>
      <w:r w:rsidRPr="000B4D80">
        <w:rPr>
          <w:lang w:val="en-US"/>
        </w:rPr>
        <w:t xml:space="preserve">Upon completion, the Planning Proposal’s envisaged masterplan would provide approximately 344,499m2 gross floor area of employment space and 14,789 dwellings. The provision of these land uses on site would potentially increase the economic output of the site, Liverpool and the wider District. </w:t>
      </w:r>
    </w:p>
    <w:p w14:paraId="6099EB0A" w14:textId="77777777" w:rsidR="00484540" w:rsidRPr="000B4D80" w:rsidRDefault="00484540" w:rsidP="000B4D80">
      <w:pPr>
        <w:pStyle w:val="Body-Black"/>
        <w:rPr>
          <w:lang w:val="en-US"/>
        </w:rPr>
      </w:pPr>
      <w:r w:rsidRPr="000B4D80">
        <w:rPr>
          <w:lang w:val="en-US"/>
        </w:rPr>
        <w:t>The table prepared by Hill PDA describes the outputs that would result from the development compared to that currently estimated to be generated on-site with current industrial uses (base case).</w:t>
      </w:r>
    </w:p>
    <w:p w14:paraId="0BDADAB8" w14:textId="77777777" w:rsidR="00484540" w:rsidRPr="000B4D80" w:rsidRDefault="00484540" w:rsidP="000B4D80">
      <w:pPr>
        <w:pStyle w:val="Body-Black"/>
        <w:rPr>
          <w:lang w:val="en-US"/>
        </w:rPr>
      </w:pPr>
      <w:r w:rsidRPr="000B4D80">
        <w:rPr>
          <w:noProof/>
          <w:lang w:val="en-US"/>
        </w:rPr>
        <w:drawing>
          <wp:inline distT="0" distB="0" distL="0" distR="0" wp14:anchorId="10921583" wp14:editId="4F500C18">
            <wp:extent cx="5040000" cy="1053529"/>
            <wp:effectExtent l="12700" t="12700" r="1460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3-17 at 2.55.33 pm.png"/>
                    <pic:cNvPicPr/>
                  </pic:nvPicPr>
                  <pic:blipFill>
                    <a:blip r:embed="rId33"/>
                    <a:stretch>
                      <a:fillRect/>
                    </a:stretch>
                  </pic:blipFill>
                  <pic:spPr>
                    <a:xfrm>
                      <a:off x="0" y="0"/>
                      <a:ext cx="5040000" cy="1053529"/>
                    </a:xfrm>
                    <a:prstGeom prst="rect">
                      <a:avLst/>
                    </a:prstGeom>
                    <a:ln>
                      <a:solidFill>
                        <a:schemeClr val="bg1">
                          <a:lumMod val="85000"/>
                        </a:schemeClr>
                      </a:solidFill>
                    </a:ln>
                  </pic:spPr>
                </pic:pic>
              </a:graphicData>
            </a:graphic>
          </wp:inline>
        </w:drawing>
      </w:r>
    </w:p>
    <w:p w14:paraId="66057086" w14:textId="0C66F36B" w:rsidR="00484540" w:rsidRPr="000B4D80" w:rsidRDefault="00E41B78" w:rsidP="00E41B78">
      <w:pPr>
        <w:pStyle w:val="Caption"/>
        <w:keepNext/>
        <w:spacing w:line="276" w:lineRule="auto"/>
        <w:rPr>
          <w:rFonts w:cs="Arial"/>
          <w:sz w:val="20"/>
          <w:szCs w:val="22"/>
        </w:rPr>
      </w:pPr>
      <w:bookmarkStart w:id="95" w:name="_Toc37862356"/>
      <w:r>
        <w:rPr>
          <w:rFonts w:cs="Arial"/>
          <w:b/>
          <w:bCs/>
          <w:sz w:val="20"/>
          <w:szCs w:val="22"/>
        </w:rPr>
        <w:t>Table</w:t>
      </w:r>
      <w:r w:rsidR="00484540" w:rsidRPr="00E41B78">
        <w:rPr>
          <w:rFonts w:cs="Arial"/>
          <w:b/>
          <w:bCs/>
          <w:sz w:val="20"/>
          <w:szCs w:val="22"/>
        </w:rPr>
        <w:t xml:space="preserve"> </w:t>
      </w:r>
      <w:r w:rsidR="00B47AC4">
        <w:rPr>
          <w:rFonts w:cs="Arial"/>
          <w:b/>
          <w:bCs/>
          <w:sz w:val="20"/>
          <w:szCs w:val="22"/>
        </w:rPr>
        <w:t>6</w:t>
      </w:r>
      <w:r w:rsidR="00484540" w:rsidRPr="00E41B78">
        <w:rPr>
          <w:rFonts w:cs="Arial"/>
          <w:b/>
          <w:bCs/>
          <w:sz w:val="20"/>
          <w:szCs w:val="22"/>
        </w:rPr>
        <w:t>:</w:t>
      </w:r>
      <w:r w:rsidR="00484540" w:rsidRPr="000B4D80">
        <w:rPr>
          <w:rFonts w:cs="Arial"/>
          <w:sz w:val="20"/>
          <w:szCs w:val="22"/>
        </w:rPr>
        <w:t xml:space="preserve"> </w:t>
      </w:r>
      <w:r w:rsidR="00484540" w:rsidRPr="00E41B78">
        <w:t>Base</w:t>
      </w:r>
      <w:r w:rsidR="00484540" w:rsidRPr="000B4D80">
        <w:rPr>
          <w:rFonts w:cs="Arial"/>
          <w:sz w:val="20"/>
          <w:szCs w:val="22"/>
        </w:rPr>
        <w:t xml:space="preserve"> Case Versus Planning Proposal (Source: Hill PDA)</w:t>
      </w:r>
      <w:bookmarkEnd w:id="95"/>
    </w:p>
    <w:p w14:paraId="79BAC0E8" w14:textId="77777777" w:rsidR="00484540" w:rsidRPr="000B4D80" w:rsidRDefault="00484540" w:rsidP="000B4D80">
      <w:pPr>
        <w:pStyle w:val="Body-Black"/>
        <w:rPr>
          <w:lang w:val="en-US"/>
        </w:rPr>
      </w:pPr>
      <w:r w:rsidRPr="000B4D80">
        <w:rPr>
          <w:lang w:val="en-US"/>
        </w:rPr>
        <w:t xml:space="preserve">The table confirms the masterplan would generate an addition 19,657 jobs, $1.62 billion in wages and contribute $3.9 billion per annum to local economy or GDP. </w:t>
      </w:r>
    </w:p>
    <w:p w14:paraId="0C878AA2" w14:textId="77777777" w:rsidR="00484540" w:rsidRPr="000B4D80" w:rsidRDefault="00484540" w:rsidP="000B4D80">
      <w:pPr>
        <w:pStyle w:val="Body-Black"/>
        <w:rPr>
          <w:lang w:val="en-US"/>
        </w:rPr>
      </w:pPr>
      <w:r w:rsidRPr="000B4D80">
        <w:rPr>
          <w:lang w:val="en-US"/>
        </w:rPr>
        <w:t xml:space="preserve">Non-resident workers on-site would also generate an estimated $94 million per annum in retail expenditure that would be captured by local retailers. This is around $92.1 million greater than that already estimated to be generated under the base case. </w:t>
      </w:r>
    </w:p>
    <w:p w14:paraId="46DE1030" w14:textId="77777777" w:rsidR="00484540" w:rsidRPr="000B4D80" w:rsidRDefault="00484540" w:rsidP="000B4D80">
      <w:pPr>
        <w:pStyle w:val="Body-Black"/>
        <w:rPr>
          <w:lang w:val="en-US"/>
        </w:rPr>
      </w:pPr>
      <w:r w:rsidRPr="000B4D80">
        <w:rPr>
          <w:lang w:val="en-US"/>
        </w:rPr>
        <w:t xml:space="preserve">In addition, the Planning Proposal would generate economic benefits resulting from the resident’s on-site. These economic benefits primarily relate to increased residential expenditure, which could be captured by retailers in the locality including Liverpool CBD. This is estimated at an additional $377.5 million per annum. </w:t>
      </w:r>
    </w:p>
    <w:p w14:paraId="501FE923" w14:textId="77777777" w:rsidR="00484540" w:rsidRPr="000B4D80" w:rsidRDefault="00484540" w:rsidP="000B4D80">
      <w:pPr>
        <w:pStyle w:val="Body-Black"/>
        <w:rPr>
          <w:lang w:val="en-US"/>
        </w:rPr>
      </w:pPr>
      <w:r w:rsidRPr="000B4D80">
        <w:rPr>
          <w:lang w:val="en-US"/>
        </w:rPr>
        <w:lastRenderedPageBreak/>
        <w:t xml:space="preserve">The population would also increase the demand for retail space by around 72,237m2, the majority of this would be likely directed towards surrounding retail centres, such as Liverpool, which would increase the vibrancy, viability and attractiveness towards investors.  </w:t>
      </w:r>
    </w:p>
    <w:p w14:paraId="733FCC89" w14:textId="77777777" w:rsidR="00484540" w:rsidRPr="000B4D80" w:rsidRDefault="00484540" w:rsidP="000B4D80">
      <w:pPr>
        <w:pStyle w:val="Body-Black"/>
        <w:rPr>
          <w:lang w:val="en-US"/>
        </w:rPr>
      </w:pPr>
      <w:r w:rsidRPr="000B4D80">
        <w:rPr>
          <w:lang w:val="en-US"/>
        </w:rPr>
        <w:t>Hill PDA also note the following additional economic benefits including:</w:t>
      </w:r>
    </w:p>
    <w:p w14:paraId="7196A864" w14:textId="77777777" w:rsidR="00484540" w:rsidRPr="000B4D80" w:rsidRDefault="00484540" w:rsidP="00FC567E">
      <w:pPr>
        <w:pStyle w:val="Body-Black"/>
        <w:numPr>
          <w:ilvl w:val="0"/>
          <w:numId w:val="40"/>
        </w:numPr>
        <w:rPr>
          <w:lang w:val="en-US"/>
        </w:rPr>
      </w:pPr>
      <w:r w:rsidRPr="000B4D80">
        <w:rPr>
          <w:lang w:val="en-US"/>
        </w:rPr>
        <w:t xml:space="preserve">Providing a catalyst for further investment in the locality; </w:t>
      </w:r>
    </w:p>
    <w:p w14:paraId="3BC6F1A6" w14:textId="77777777" w:rsidR="00484540" w:rsidRPr="000B4D80" w:rsidRDefault="00484540" w:rsidP="00FC567E">
      <w:pPr>
        <w:pStyle w:val="Body-Black"/>
        <w:numPr>
          <w:ilvl w:val="0"/>
          <w:numId w:val="40"/>
        </w:numPr>
        <w:rPr>
          <w:lang w:val="en-US"/>
        </w:rPr>
      </w:pPr>
      <w:r w:rsidRPr="000B4D80">
        <w:rPr>
          <w:lang w:val="en-US"/>
        </w:rPr>
        <w:t>Contributing to increasing housing diversity and affordability in the LGA and District;</w:t>
      </w:r>
    </w:p>
    <w:p w14:paraId="5A3147BE" w14:textId="77777777" w:rsidR="00484540" w:rsidRPr="000B4D80" w:rsidRDefault="00484540" w:rsidP="00FC567E">
      <w:pPr>
        <w:pStyle w:val="Body-Black"/>
        <w:numPr>
          <w:ilvl w:val="0"/>
          <w:numId w:val="40"/>
        </w:numPr>
        <w:rPr>
          <w:lang w:val="en-US"/>
        </w:rPr>
      </w:pPr>
      <w:r w:rsidRPr="000B4D80">
        <w:rPr>
          <w:lang w:val="en-US"/>
        </w:rPr>
        <w:t xml:space="preserve">Providing jobs closer to home and contributing to the LGAs employment targets; </w:t>
      </w:r>
    </w:p>
    <w:p w14:paraId="2F9A2714" w14:textId="77777777" w:rsidR="00484540" w:rsidRPr="000B4D80" w:rsidRDefault="00484540" w:rsidP="00FC567E">
      <w:pPr>
        <w:pStyle w:val="Body-Black"/>
        <w:numPr>
          <w:ilvl w:val="0"/>
          <w:numId w:val="40"/>
        </w:numPr>
        <w:rPr>
          <w:lang w:val="en-US"/>
        </w:rPr>
      </w:pPr>
      <w:r w:rsidRPr="000B4D80">
        <w:rPr>
          <w:lang w:val="en-US"/>
        </w:rPr>
        <w:t>Contribute to transit oriented development objectives by concentrating more people near the train station and commercial services, thereby reducing the reliance on private motor vehicle travel and increasing public transport usage; and</w:t>
      </w:r>
    </w:p>
    <w:p w14:paraId="47DA090D" w14:textId="77777777" w:rsidR="00484540" w:rsidRPr="000B4D80" w:rsidRDefault="00484540" w:rsidP="00FC567E">
      <w:pPr>
        <w:pStyle w:val="Body-Black"/>
        <w:numPr>
          <w:ilvl w:val="0"/>
          <w:numId w:val="40"/>
        </w:numPr>
        <w:rPr>
          <w:lang w:val="en-US"/>
        </w:rPr>
      </w:pPr>
      <w:r w:rsidRPr="000B4D80">
        <w:rPr>
          <w:lang w:val="en-US"/>
        </w:rPr>
        <w:t>Contributing to Sydney achieving the 30-minute city concept.</w:t>
      </w:r>
    </w:p>
    <w:p w14:paraId="129A08F3" w14:textId="77777777" w:rsidR="00484540" w:rsidRPr="00E41B78" w:rsidRDefault="00484540" w:rsidP="000B4D80">
      <w:pPr>
        <w:pStyle w:val="Body-Black"/>
        <w:rPr>
          <w:u w:val="single"/>
          <w:lang w:val="en-US"/>
        </w:rPr>
      </w:pPr>
      <w:r w:rsidRPr="00E41B78">
        <w:rPr>
          <w:u w:val="single"/>
          <w:lang w:val="en-US"/>
        </w:rPr>
        <w:t xml:space="preserve">Conclusion </w:t>
      </w:r>
    </w:p>
    <w:p w14:paraId="721D1CA0" w14:textId="3A5601DC" w:rsidR="00484540" w:rsidRPr="00484540" w:rsidRDefault="00484540" w:rsidP="00484540">
      <w:pPr>
        <w:pStyle w:val="Body-Black"/>
        <w:rPr>
          <w:szCs w:val="20"/>
        </w:rPr>
      </w:pPr>
      <w:r w:rsidRPr="000B4D80">
        <w:rPr>
          <w:lang w:val="en-US"/>
        </w:rPr>
        <w:t>Overall</w:t>
      </w:r>
      <w:r w:rsidRPr="00484540">
        <w:rPr>
          <w:szCs w:val="20"/>
        </w:rPr>
        <w:t>, Hill PDA confirm the Planning Proposal is supportable from an economic perspective.</w:t>
      </w:r>
    </w:p>
    <w:p w14:paraId="63C1A467" w14:textId="35594775" w:rsidR="00A722E2" w:rsidRDefault="00A722E2" w:rsidP="004F5AA0">
      <w:pPr>
        <w:pStyle w:val="Sub-Heading1-Purple"/>
        <w:spacing w:line="276" w:lineRule="auto"/>
        <w:rPr>
          <w:lang w:eastAsia="ja-JP"/>
        </w:rPr>
      </w:pPr>
      <w:bookmarkStart w:id="96" w:name="_Toc59014424"/>
      <w:r w:rsidRPr="00851E9E">
        <w:rPr>
          <w:lang w:eastAsia="ja-JP"/>
        </w:rPr>
        <w:t>Section D – State and Commonwealth interests</w:t>
      </w:r>
      <w:bookmarkEnd w:id="96"/>
    </w:p>
    <w:p w14:paraId="7C822CA4" w14:textId="77777777" w:rsidR="00A06EEE" w:rsidRPr="00851E9E" w:rsidRDefault="00A06EEE" w:rsidP="004F5AA0">
      <w:pPr>
        <w:pStyle w:val="Sub-Heading1-Purple"/>
        <w:spacing w:line="276" w:lineRule="auto"/>
        <w:rPr>
          <w:lang w:eastAsia="ja-JP"/>
        </w:rPr>
      </w:pPr>
    </w:p>
    <w:p w14:paraId="16CCF670" w14:textId="77777777" w:rsidR="00A722E2" w:rsidRPr="00851E9E" w:rsidRDefault="005A398A" w:rsidP="004F5AA0">
      <w:pPr>
        <w:pStyle w:val="Sub-Heading2-Purple"/>
        <w:numPr>
          <w:ilvl w:val="0"/>
          <w:numId w:val="1"/>
        </w:numPr>
        <w:spacing w:line="276" w:lineRule="auto"/>
        <w:rPr>
          <w:lang w:eastAsia="ja-JP"/>
        </w:rPr>
      </w:pPr>
      <w:r w:rsidRPr="00851E9E">
        <w:rPr>
          <w:lang w:eastAsia="ja-JP"/>
        </w:rPr>
        <w:t>Is there adequate public infrastructure for the planning proposal?</w:t>
      </w:r>
    </w:p>
    <w:p w14:paraId="7641FACB" w14:textId="77777777" w:rsidR="008946F4" w:rsidRPr="008946F4" w:rsidRDefault="008946F4" w:rsidP="008946F4">
      <w:pPr>
        <w:pStyle w:val="Body-Black"/>
        <w:rPr>
          <w:b/>
          <w:bCs/>
          <w:lang w:val="en-US" w:eastAsia="ja-JP"/>
        </w:rPr>
      </w:pPr>
      <w:r w:rsidRPr="008946F4">
        <w:rPr>
          <w:b/>
          <w:bCs/>
          <w:lang w:val="en-US" w:eastAsia="ja-JP"/>
        </w:rPr>
        <w:t>Infrastructure Servicing</w:t>
      </w:r>
    </w:p>
    <w:p w14:paraId="5C3F3C13" w14:textId="77777777" w:rsidR="008946F4" w:rsidRPr="008946F4" w:rsidRDefault="008946F4" w:rsidP="008946F4">
      <w:pPr>
        <w:pStyle w:val="Body-Black"/>
        <w:rPr>
          <w:lang w:val="en-US" w:eastAsia="ja-JP"/>
        </w:rPr>
      </w:pPr>
      <w:r w:rsidRPr="008946F4">
        <w:rPr>
          <w:lang w:val="en-US" w:eastAsia="ja-JP"/>
        </w:rPr>
        <w:t xml:space="preserve">The site is well serviced by existing transport, infrastructure and services. </w:t>
      </w:r>
    </w:p>
    <w:p w14:paraId="00F08856" w14:textId="152171CE" w:rsidR="008946F4" w:rsidRPr="008946F4" w:rsidRDefault="008946F4" w:rsidP="008946F4">
      <w:pPr>
        <w:pStyle w:val="Body-Black"/>
        <w:rPr>
          <w:lang w:val="en-US" w:eastAsia="ja-JP"/>
        </w:rPr>
      </w:pPr>
      <w:r w:rsidRPr="008946F4">
        <w:rPr>
          <w:lang w:val="en-US" w:eastAsia="ja-JP"/>
        </w:rPr>
        <w:t>A Services Infrastructure Report has been prepared by ADW Johnson in support of the Planning Proposal.</w:t>
      </w:r>
    </w:p>
    <w:p w14:paraId="26AB0025" w14:textId="77777777" w:rsidR="008946F4" w:rsidRPr="008946F4" w:rsidRDefault="008946F4" w:rsidP="008946F4">
      <w:pPr>
        <w:pStyle w:val="Body-Black"/>
        <w:rPr>
          <w:lang w:val="en-US" w:eastAsia="ja-JP"/>
        </w:rPr>
      </w:pPr>
      <w:r w:rsidRPr="008946F4">
        <w:rPr>
          <w:lang w:val="en-US" w:eastAsia="ja-JP"/>
        </w:rPr>
        <w:t>The report made applications to Endeavour Energy, Sydney Water, NBN Co and Jemena in relation to the provision of infrastructure to service the Planning Proposal and future development outcomes.</w:t>
      </w:r>
    </w:p>
    <w:p w14:paraId="09314810" w14:textId="77777777" w:rsidR="008946F4" w:rsidRPr="008946F4" w:rsidRDefault="008946F4" w:rsidP="008946F4">
      <w:pPr>
        <w:pStyle w:val="Body-Black"/>
        <w:rPr>
          <w:lang w:val="en-US" w:eastAsia="ja-JP"/>
        </w:rPr>
      </w:pPr>
      <w:r w:rsidRPr="008946F4">
        <w:rPr>
          <w:lang w:val="en-US" w:eastAsia="ja-JP"/>
        </w:rPr>
        <w:t>All authorities have advised that they can service the proposed overall development outcome. In some cases, upgrades to the existing network will be required. This is summarised below.</w:t>
      </w:r>
    </w:p>
    <w:p w14:paraId="42A64AC4" w14:textId="77777777" w:rsidR="008946F4" w:rsidRPr="008946F4" w:rsidRDefault="008946F4" w:rsidP="008946F4">
      <w:pPr>
        <w:pStyle w:val="Body-Black"/>
        <w:rPr>
          <w:u w:val="single"/>
          <w:lang w:val="en-US" w:eastAsia="ja-JP"/>
        </w:rPr>
      </w:pPr>
      <w:r w:rsidRPr="008946F4">
        <w:rPr>
          <w:u w:val="single"/>
          <w:lang w:val="en-US" w:eastAsia="ja-JP"/>
        </w:rPr>
        <w:t>Sydney Water</w:t>
      </w:r>
    </w:p>
    <w:p w14:paraId="008F2533" w14:textId="0B864C5D" w:rsidR="008946F4" w:rsidRPr="008946F4" w:rsidRDefault="008946F4" w:rsidP="00FC567E">
      <w:pPr>
        <w:pStyle w:val="Body-Black"/>
        <w:numPr>
          <w:ilvl w:val="0"/>
          <w:numId w:val="42"/>
        </w:numPr>
        <w:rPr>
          <w:lang w:val="en-US" w:eastAsia="ja-JP"/>
        </w:rPr>
      </w:pPr>
      <w:r w:rsidRPr="008946F4">
        <w:rPr>
          <w:lang w:val="en-US" w:eastAsia="ja-JP"/>
        </w:rPr>
        <w:t xml:space="preserve">Upgrade of potable water supply likely; </w:t>
      </w:r>
    </w:p>
    <w:p w14:paraId="0E92C52F" w14:textId="4E3062C3" w:rsidR="008946F4" w:rsidRPr="008946F4" w:rsidRDefault="008946F4" w:rsidP="00FC567E">
      <w:pPr>
        <w:pStyle w:val="Body-Black"/>
        <w:numPr>
          <w:ilvl w:val="0"/>
          <w:numId w:val="42"/>
        </w:numPr>
        <w:rPr>
          <w:lang w:val="en-US" w:eastAsia="ja-JP"/>
        </w:rPr>
      </w:pPr>
      <w:r w:rsidRPr="008946F4">
        <w:rPr>
          <w:lang w:val="en-US" w:eastAsia="ja-JP"/>
        </w:rPr>
        <w:t>Major upgrade of existing pumping station to be completed to service development. The upgrade works will be completed by Sydney Water and take an estimated 3 years from concept to completion.</w:t>
      </w:r>
    </w:p>
    <w:p w14:paraId="2FA363A2" w14:textId="77777777" w:rsidR="008946F4" w:rsidRPr="008946F4" w:rsidRDefault="008946F4" w:rsidP="008946F4">
      <w:pPr>
        <w:pStyle w:val="Body-Black"/>
        <w:rPr>
          <w:u w:val="single"/>
          <w:lang w:val="en-US" w:eastAsia="ja-JP"/>
        </w:rPr>
      </w:pPr>
      <w:r w:rsidRPr="008946F4">
        <w:rPr>
          <w:u w:val="single"/>
          <w:lang w:val="en-US" w:eastAsia="ja-JP"/>
        </w:rPr>
        <w:t>Endeavour</w:t>
      </w:r>
    </w:p>
    <w:p w14:paraId="2A320EBD" w14:textId="7F6027C8" w:rsidR="008946F4" w:rsidRPr="008946F4" w:rsidRDefault="008946F4" w:rsidP="00FC567E">
      <w:pPr>
        <w:pStyle w:val="Body-Black"/>
        <w:numPr>
          <w:ilvl w:val="0"/>
          <w:numId w:val="44"/>
        </w:numPr>
        <w:rPr>
          <w:lang w:val="en-US" w:eastAsia="ja-JP"/>
        </w:rPr>
      </w:pPr>
      <w:r w:rsidRPr="008946F4">
        <w:rPr>
          <w:lang w:val="en-US" w:eastAsia="ja-JP"/>
        </w:rPr>
        <w:t xml:space="preserve">Eight new 11kV feeders from Moorebank Zone Substation; </w:t>
      </w:r>
    </w:p>
    <w:p w14:paraId="5D6C326D" w14:textId="7111D59E" w:rsidR="008946F4" w:rsidRPr="008946F4" w:rsidRDefault="008946F4" w:rsidP="00FC567E">
      <w:pPr>
        <w:pStyle w:val="Body-Black"/>
        <w:numPr>
          <w:ilvl w:val="0"/>
          <w:numId w:val="44"/>
        </w:numPr>
        <w:rPr>
          <w:lang w:val="en-US" w:eastAsia="ja-JP"/>
        </w:rPr>
      </w:pPr>
      <w:r w:rsidRPr="008946F4">
        <w:rPr>
          <w:lang w:val="en-US" w:eastAsia="ja-JP"/>
        </w:rPr>
        <w:t>Six new circuit breaker terminations at Moorebank Zone Substation; and</w:t>
      </w:r>
    </w:p>
    <w:p w14:paraId="1AD765EA" w14:textId="42F077F1" w:rsidR="008946F4" w:rsidRPr="008946F4" w:rsidRDefault="008946F4" w:rsidP="00FC567E">
      <w:pPr>
        <w:pStyle w:val="Body-Black"/>
        <w:numPr>
          <w:ilvl w:val="0"/>
          <w:numId w:val="44"/>
        </w:numPr>
        <w:rPr>
          <w:lang w:val="en-US" w:eastAsia="ja-JP"/>
        </w:rPr>
      </w:pPr>
      <w:r w:rsidRPr="008946F4">
        <w:rPr>
          <w:lang w:val="en-US" w:eastAsia="ja-JP"/>
        </w:rPr>
        <w:t>Two new switching stations at Moorebank Zone Substation.</w:t>
      </w:r>
    </w:p>
    <w:p w14:paraId="546D89CA" w14:textId="77777777" w:rsidR="008946F4" w:rsidRPr="008946F4" w:rsidRDefault="008946F4" w:rsidP="008946F4">
      <w:pPr>
        <w:pStyle w:val="Body-Black"/>
        <w:rPr>
          <w:u w:val="single"/>
          <w:lang w:val="en-US" w:eastAsia="ja-JP"/>
        </w:rPr>
      </w:pPr>
      <w:r w:rsidRPr="008946F4">
        <w:rPr>
          <w:u w:val="single"/>
          <w:lang w:val="en-US" w:eastAsia="ja-JP"/>
        </w:rPr>
        <w:lastRenderedPageBreak/>
        <w:t>NBN Co</w:t>
      </w:r>
    </w:p>
    <w:p w14:paraId="094BE4AD" w14:textId="1D6C3834" w:rsidR="008946F4" w:rsidRPr="008946F4" w:rsidRDefault="008946F4" w:rsidP="00FC567E">
      <w:pPr>
        <w:pStyle w:val="Body-Black"/>
        <w:numPr>
          <w:ilvl w:val="0"/>
          <w:numId w:val="43"/>
        </w:numPr>
        <w:rPr>
          <w:lang w:val="en-US" w:eastAsia="ja-JP"/>
        </w:rPr>
      </w:pPr>
      <w:r w:rsidRPr="008946F4">
        <w:rPr>
          <w:lang w:val="en-US" w:eastAsia="ja-JP"/>
        </w:rPr>
        <w:t>Fibre connecting the site to the existing Liverpool Fibre Access Node (FAN) to be constructed by NBN,</w:t>
      </w:r>
    </w:p>
    <w:p w14:paraId="3F906F9A" w14:textId="77777777" w:rsidR="008946F4" w:rsidRPr="008946F4" w:rsidRDefault="008946F4" w:rsidP="008946F4">
      <w:pPr>
        <w:pStyle w:val="Body-Black"/>
        <w:rPr>
          <w:u w:val="single"/>
          <w:lang w:val="en-US" w:eastAsia="ja-JP"/>
        </w:rPr>
      </w:pPr>
      <w:r w:rsidRPr="008946F4">
        <w:rPr>
          <w:u w:val="single"/>
          <w:lang w:val="en-US" w:eastAsia="ja-JP"/>
        </w:rPr>
        <w:t>Jemena</w:t>
      </w:r>
    </w:p>
    <w:p w14:paraId="23164DF9" w14:textId="3C114B53" w:rsidR="008946F4" w:rsidRPr="008946F4" w:rsidRDefault="008946F4" w:rsidP="00FC567E">
      <w:pPr>
        <w:pStyle w:val="Body-Black"/>
        <w:numPr>
          <w:ilvl w:val="0"/>
          <w:numId w:val="43"/>
        </w:numPr>
        <w:rPr>
          <w:lang w:val="en-US" w:eastAsia="ja-JP"/>
        </w:rPr>
      </w:pPr>
      <w:r w:rsidRPr="008946F4">
        <w:rPr>
          <w:lang w:val="en-US" w:eastAsia="ja-JP"/>
        </w:rPr>
        <w:t>Installation of below-ground regulator station.</w:t>
      </w:r>
    </w:p>
    <w:p w14:paraId="29BA19EF" w14:textId="77777777" w:rsidR="008946F4" w:rsidRPr="008946F4" w:rsidRDefault="008946F4" w:rsidP="008946F4">
      <w:pPr>
        <w:pStyle w:val="Body-Black"/>
        <w:rPr>
          <w:lang w:val="en-US" w:eastAsia="ja-JP"/>
        </w:rPr>
      </w:pPr>
      <w:r w:rsidRPr="008946F4">
        <w:rPr>
          <w:lang w:val="en-US" w:eastAsia="ja-JP"/>
        </w:rPr>
        <w:t xml:space="preserve">Notwithstanding the above, the Planning Proposal includes the provision of new public infrastructure including new roads, open space, pedestrian pathways, cycleway and bridge crossings. This proposed infrastructure will benefit the surrounding context in the short, medium and long-term. </w:t>
      </w:r>
    </w:p>
    <w:p w14:paraId="63819C72" w14:textId="77777777" w:rsidR="008946F4" w:rsidRPr="00F0215D" w:rsidRDefault="008946F4" w:rsidP="008946F4">
      <w:pPr>
        <w:pStyle w:val="Body-Black"/>
        <w:rPr>
          <w:b/>
          <w:bCs/>
          <w:lang w:val="en-US" w:eastAsia="ja-JP"/>
        </w:rPr>
      </w:pPr>
      <w:r w:rsidRPr="00F0215D">
        <w:rPr>
          <w:b/>
          <w:bCs/>
          <w:lang w:val="en-US" w:eastAsia="ja-JP"/>
        </w:rPr>
        <w:t>Site-Specific Section 7.11 Contributions Plan</w:t>
      </w:r>
    </w:p>
    <w:p w14:paraId="7E5BAB36" w14:textId="2F5E1466" w:rsidR="008946F4" w:rsidRPr="008946F4" w:rsidRDefault="008946F4" w:rsidP="008946F4">
      <w:pPr>
        <w:pStyle w:val="Body-Black"/>
        <w:rPr>
          <w:lang w:val="en-US" w:eastAsia="ja-JP"/>
        </w:rPr>
      </w:pPr>
      <w:r w:rsidRPr="008946F4">
        <w:rPr>
          <w:lang w:val="en-US" w:eastAsia="ja-JP"/>
        </w:rPr>
        <w:t xml:space="preserve">In addition, a letter has been prepared by Mecone as a statement of intent to prepare a site-specific Section 7.11 Contributions Plan (s.7.11 Plan) in support of the Planning Proposal on behalf of the proponent. This will involve amendment to the current Liverpool City Centre Contributions Plan, which currently </w:t>
      </w:r>
      <w:r w:rsidR="00F0215D">
        <w:rPr>
          <w:lang w:val="en-US" w:eastAsia="ja-JP"/>
        </w:rPr>
        <w:t>i</w:t>
      </w:r>
      <w:r w:rsidRPr="008946F4">
        <w:rPr>
          <w:lang w:val="en-US" w:eastAsia="ja-JP"/>
        </w:rPr>
        <w:t>ncludes part of Moore Point in the Section 7.12 levy area.</w:t>
      </w:r>
    </w:p>
    <w:p w14:paraId="1DC422BE" w14:textId="77777777" w:rsidR="008946F4" w:rsidRPr="008946F4" w:rsidRDefault="008946F4" w:rsidP="008946F4">
      <w:pPr>
        <w:pStyle w:val="Body-Black"/>
        <w:rPr>
          <w:lang w:val="en-US" w:eastAsia="ja-JP"/>
        </w:rPr>
      </w:pPr>
      <w:r w:rsidRPr="008946F4">
        <w:rPr>
          <w:lang w:val="en-US" w:eastAsia="ja-JP"/>
        </w:rPr>
        <w:t>The letter serves as initial consideration by Liverpool City Council (Council) with the intent to prepare a detailed s.7.11 Plan following the issue of a Gateway Determination by the Department of Planning Industry and Environment (DPIE).</w:t>
      </w:r>
    </w:p>
    <w:p w14:paraId="08758AB3" w14:textId="77777777" w:rsidR="008946F4" w:rsidRPr="008946F4" w:rsidRDefault="008946F4" w:rsidP="008946F4">
      <w:pPr>
        <w:pStyle w:val="Body-Black"/>
        <w:rPr>
          <w:lang w:val="en-US" w:eastAsia="ja-JP"/>
        </w:rPr>
      </w:pPr>
      <w:r w:rsidRPr="008946F4">
        <w:rPr>
          <w:lang w:val="en-US" w:eastAsia="ja-JP"/>
        </w:rPr>
        <w:t>Specific to the Planning Proposal, items captured through the Plan could include:</w:t>
      </w:r>
    </w:p>
    <w:p w14:paraId="2056A6EF" w14:textId="2E5267B3" w:rsidR="008946F4" w:rsidRPr="008946F4" w:rsidRDefault="008946F4" w:rsidP="00FC567E">
      <w:pPr>
        <w:pStyle w:val="Body-Black"/>
        <w:numPr>
          <w:ilvl w:val="0"/>
          <w:numId w:val="43"/>
        </w:numPr>
        <w:rPr>
          <w:lang w:val="en-US" w:eastAsia="ja-JP"/>
        </w:rPr>
      </w:pPr>
      <w:r w:rsidRPr="008946F4">
        <w:rPr>
          <w:lang w:val="en-US" w:eastAsia="ja-JP"/>
        </w:rPr>
        <w:t>Multi-purpose community centres;</w:t>
      </w:r>
    </w:p>
    <w:p w14:paraId="374ED140" w14:textId="67315019" w:rsidR="008946F4" w:rsidRPr="008946F4" w:rsidRDefault="008946F4" w:rsidP="00FC567E">
      <w:pPr>
        <w:pStyle w:val="Body-Black"/>
        <w:numPr>
          <w:ilvl w:val="0"/>
          <w:numId w:val="43"/>
        </w:numPr>
        <w:rPr>
          <w:lang w:val="en-US" w:eastAsia="ja-JP"/>
        </w:rPr>
      </w:pPr>
      <w:r w:rsidRPr="008946F4">
        <w:rPr>
          <w:lang w:val="en-US" w:eastAsia="ja-JP"/>
        </w:rPr>
        <w:t xml:space="preserve">Rehabilitation and embellishment of the Georges River foreshore and Lake Moore; </w:t>
      </w:r>
    </w:p>
    <w:p w14:paraId="65BE6774" w14:textId="07BF92AE" w:rsidR="008946F4" w:rsidRPr="008946F4" w:rsidRDefault="008946F4" w:rsidP="00FC567E">
      <w:pPr>
        <w:pStyle w:val="Body-Black"/>
        <w:numPr>
          <w:ilvl w:val="0"/>
          <w:numId w:val="43"/>
        </w:numPr>
        <w:rPr>
          <w:lang w:val="en-US" w:eastAsia="ja-JP"/>
        </w:rPr>
      </w:pPr>
      <w:r w:rsidRPr="008946F4">
        <w:rPr>
          <w:lang w:val="en-US" w:eastAsia="ja-JP"/>
        </w:rPr>
        <w:t xml:space="preserve">Pedestrian bridge/s from Moore Point to Liverpool CBD; </w:t>
      </w:r>
    </w:p>
    <w:p w14:paraId="5493B9DC" w14:textId="2E97E1CC" w:rsidR="008946F4" w:rsidRPr="008946F4" w:rsidRDefault="008946F4" w:rsidP="00FC567E">
      <w:pPr>
        <w:pStyle w:val="Body-Black"/>
        <w:numPr>
          <w:ilvl w:val="0"/>
          <w:numId w:val="43"/>
        </w:numPr>
        <w:rPr>
          <w:lang w:val="en-US" w:eastAsia="ja-JP"/>
        </w:rPr>
      </w:pPr>
      <w:r w:rsidRPr="008946F4">
        <w:rPr>
          <w:lang w:val="en-US" w:eastAsia="ja-JP"/>
        </w:rPr>
        <w:t>Dedicated pedestrian and cycle paths;</w:t>
      </w:r>
    </w:p>
    <w:p w14:paraId="424E1C44" w14:textId="7EB1E0EA" w:rsidR="008946F4" w:rsidRPr="008946F4" w:rsidRDefault="008946F4" w:rsidP="00FC567E">
      <w:pPr>
        <w:pStyle w:val="Body-Black"/>
        <w:numPr>
          <w:ilvl w:val="0"/>
          <w:numId w:val="43"/>
        </w:numPr>
        <w:rPr>
          <w:lang w:val="en-US" w:eastAsia="ja-JP"/>
        </w:rPr>
      </w:pPr>
      <w:r w:rsidRPr="008946F4">
        <w:rPr>
          <w:lang w:val="en-US" w:eastAsia="ja-JP"/>
        </w:rPr>
        <w:t xml:space="preserve">Creation of new open space along Georges River foreshore; </w:t>
      </w:r>
    </w:p>
    <w:p w14:paraId="499F3365" w14:textId="0A64B301" w:rsidR="008946F4" w:rsidRPr="008946F4" w:rsidRDefault="008946F4" w:rsidP="00FC567E">
      <w:pPr>
        <w:pStyle w:val="Body-Black"/>
        <w:numPr>
          <w:ilvl w:val="0"/>
          <w:numId w:val="43"/>
        </w:numPr>
        <w:rPr>
          <w:lang w:val="en-US" w:eastAsia="ja-JP"/>
        </w:rPr>
      </w:pPr>
      <w:r w:rsidRPr="008946F4">
        <w:rPr>
          <w:lang w:val="en-US" w:eastAsia="ja-JP"/>
        </w:rPr>
        <w:t xml:space="preserve">Heritage conservation and adaptive re-use of existing heritage building as new marketplace; </w:t>
      </w:r>
    </w:p>
    <w:p w14:paraId="7B838999" w14:textId="677030D1" w:rsidR="008946F4" w:rsidRPr="008946F4" w:rsidRDefault="008946F4" w:rsidP="00FC567E">
      <w:pPr>
        <w:pStyle w:val="Body-Black"/>
        <w:numPr>
          <w:ilvl w:val="0"/>
          <w:numId w:val="43"/>
        </w:numPr>
        <w:rPr>
          <w:lang w:val="en-US" w:eastAsia="ja-JP"/>
        </w:rPr>
      </w:pPr>
      <w:r w:rsidRPr="008946F4">
        <w:rPr>
          <w:lang w:val="en-US" w:eastAsia="ja-JP"/>
        </w:rPr>
        <w:t xml:space="preserve">Embellishment and upgrade of existing open spaces in the surrounding locality;  </w:t>
      </w:r>
    </w:p>
    <w:p w14:paraId="00429F9B" w14:textId="64960EEE" w:rsidR="008946F4" w:rsidRPr="008946F4" w:rsidRDefault="008946F4" w:rsidP="00FC567E">
      <w:pPr>
        <w:pStyle w:val="Body-Black"/>
        <w:numPr>
          <w:ilvl w:val="0"/>
          <w:numId w:val="43"/>
        </w:numPr>
        <w:rPr>
          <w:lang w:val="en-US" w:eastAsia="ja-JP"/>
        </w:rPr>
      </w:pPr>
      <w:r w:rsidRPr="008946F4">
        <w:rPr>
          <w:lang w:val="en-US" w:eastAsia="ja-JP"/>
        </w:rPr>
        <w:t>Intersection upgrade works at Newbridge Road; and</w:t>
      </w:r>
    </w:p>
    <w:p w14:paraId="5519D8BC" w14:textId="4F71E0C0" w:rsidR="00336C10" w:rsidRDefault="008946F4" w:rsidP="00FC567E">
      <w:pPr>
        <w:pStyle w:val="Body-Black"/>
        <w:numPr>
          <w:ilvl w:val="0"/>
          <w:numId w:val="43"/>
        </w:numPr>
        <w:rPr>
          <w:lang w:val="en-US" w:eastAsia="ja-JP"/>
        </w:rPr>
      </w:pPr>
      <w:r w:rsidRPr="008946F4">
        <w:rPr>
          <w:lang w:val="en-US" w:eastAsia="ja-JP"/>
        </w:rPr>
        <w:t>Creation of new local streets and collector roads.</w:t>
      </w:r>
    </w:p>
    <w:p w14:paraId="5EC810D2" w14:textId="610ECE39" w:rsidR="00A956D8" w:rsidRPr="00A956D8" w:rsidRDefault="00A956D8" w:rsidP="00A956D8">
      <w:pPr>
        <w:pStyle w:val="Body-Black"/>
        <w:rPr>
          <w:b/>
          <w:bCs/>
          <w:lang w:val="en-US" w:eastAsia="ja-JP"/>
        </w:rPr>
      </w:pPr>
      <w:r w:rsidRPr="00A956D8">
        <w:rPr>
          <w:b/>
          <w:bCs/>
          <w:lang w:val="en-US" w:eastAsia="ja-JP"/>
        </w:rPr>
        <w:t>Interim Letter of Offer</w:t>
      </w:r>
    </w:p>
    <w:p w14:paraId="22318893" w14:textId="2D3932E9" w:rsidR="00344B81" w:rsidRPr="00344B81" w:rsidRDefault="007953BA" w:rsidP="00344B81">
      <w:pPr>
        <w:pStyle w:val="Body-Black"/>
        <w:rPr>
          <w:lang w:val="en-US" w:eastAsia="ja-JP"/>
        </w:rPr>
      </w:pPr>
      <w:r>
        <w:rPr>
          <w:lang w:val="en-US" w:eastAsia="ja-JP"/>
        </w:rPr>
        <w:t>An Interim Letter of Offer</w:t>
      </w:r>
      <w:r w:rsidR="00CE710E">
        <w:rPr>
          <w:lang w:val="en-US" w:eastAsia="ja-JP"/>
        </w:rPr>
        <w:t xml:space="preserve"> has been provided by the </w:t>
      </w:r>
      <w:r w:rsidR="00EE2334">
        <w:rPr>
          <w:lang w:val="en-US" w:eastAsia="ja-JP"/>
        </w:rPr>
        <w:t>landowners</w:t>
      </w:r>
      <w:r w:rsidR="00986F3A">
        <w:rPr>
          <w:lang w:val="en-US" w:eastAsia="ja-JP"/>
        </w:rPr>
        <w:t xml:space="preserve"> for a public benefits package</w:t>
      </w:r>
      <w:r w:rsidR="00EE2334">
        <w:rPr>
          <w:lang w:val="en-US" w:eastAsia="ja-JP"/>
        </w:rPr>
        <w:t xml:space="preserve">, which may </w:t>
      </w:r>
      <w:r w:rsidR="00986F3A">
        <w:rPr>
          <w:lang w:val="en-US" w:eastAsia="ja-JP"/>
        </w:rPr>
        <w:t>include</w:t>
      </w:r>
      <w:r w:rsidR="00344B81">
        <w:rPr>
          <w:lang w:val="en-US" w:eastAsia="ja-JP"/>
        </w:rPr>
        <w:t xml:space="preserve"> a Voluntary Planning Agreement (VPA)</w:t>
      </w:r>
      <w:r w:rsidR="00EE2334">
        <w:rPr>
          <w:lang w:val="en-US" w:eastAsia="ja-JP"/>
        </w:rPr>
        <w:t xml:space="preserve"> </w:t>
      </w:r>
      <w:r w:rsidR="00344B81">
        <w:rPr>
          <w:lang w:val="en-US" w:eastAsia="ja-JP"/>
        </w:rPr>
        <w:t>for</w:t>
      </w:r>
      <w:r w:rsidR="00EE2334">
        <w:rPr>
          <w:lang w:val="en-US" w:eastAsia="ja-JP"/>
        </w:rPr>
        <w:t xml:space="preserve"> additional infrastructure to support the developmen</w:t>
      </w:r>
      <w:r w:rsidR="00986F3A">
        <w:rPr>
          <w:lang w:val="en-US" w:eastAsia="ja-JP"/>
        </w:rPr>
        <w:t>t, where this can not be levied through a Section 7.11 scheme</w:t>
      </w:r>
      <w:r w:rsidR="009A407E">
        <w:rPr>
          <w:lang w:val="en-US" w:eastAsia="ja-JP"/>
        </w:rPr>
        <w:t>, such as</w:t>
      </w:r>
    </w:p>
    <w:p w14:paraId="61512C8B" w14:textId="1449B961" w:rsidR="00344B81" w:rsidRPr="00344B81" w:rsidRDefault="00344B81" w:rsidP="00FC567E">
      <w:pPr>
        <w:pStyle w:val="Body-Black"/>
        <w:numPr>
          <w:ilvl w:val="0"/>
          <w:numId w:val="45"/>
        </w:numPr>
        <w:rPr>
          <w:lang w:val="en-US" w:eastAsia="ja-JP"/>
        </w:rPr>
      </w:pPr>
      <w:r w:rsidRPr="00344B81">
        <w:rPr>
          <w:lang w:val="en-US" w:eastAsia="ja-JP"/>
        </w:rPr>
        <w:t>Dedication of foreshore open space along the Georges River;</w:t>
      </w:r>
      <w:r w:rsidR="009A407E">
        <w:rPr>
          <w:lang w:val="en-US" w:eastAsia="ja-JP"/>
        </w:rPr>
        <w:t xml:space="preserve"> and</w:t>
      </w:r>
    </w:p>
    <w:p w14:paraId="7446ECFD" w14:textId="606996CA" w:rsidR="00344B81" w:rsidRPr="00344B81" w:rsidRDefault="00344B81" w:rsidP="00FC567E">
      <w:pPr>
        <w:pStyle w:val="Body-Black"/>
        <w:numPr>
          <w:ilvl w:val="0"/>
          <w:numId w:val="45"/>
        </w:numPr>
        <w:rPr>
          <w:lang w:val="en-US" w:eastAsia="ja-JP"/>
        </w:rPr>
      </w:pPr>
      <w:r w:rsidRPr="00344B81">
        <w:rPr>
          <w:lang w:val="en-US" w:eastAsia="ja-JP"/>
        </w:rPr>
        <w:t>Delivery of combined flood storage and recreation/playing courts near Helles</w:t>
      </w:r>
      <w:r w:rsidR="00986F3A">
        <w:rPr>
          <w:lang w:val="en-US" w:eastAsia="ja-JP"/>
        </w:rPr>
        <w:t xml:space="preserve"> </w:t>
      </w:r>
      <w:r w:rsidRPr="00344B81">
        <w:rPr>
          <w:lang w:val="en-US" w:eastAsia="ja-JP"/>
        </w:rPr>
        <w:t>Avenue</w:t>
      </w:r>
      <w:r w:rsidR="009A407E">
        <w:rPr>
          <w:lang w:val="en-US" w:eastAsia="ja-JP"/>
        </w:rPr>
        <w:t>.</w:t>
      </w:r>
    </w:p>
    <w:p w14:paraId="16B0FAF6" w14:textId="77777777" w:rsidR="005A398A" w:rsidRPr="00851E9E" w:rsidRDefault="005A398A" w:rsidP="004F5AA0">
      <w:pPr>
        <w:pStyle w:val="Sub-Heading2-Purple"/>
        <w:numPr>
          <w:ilvl w:val="0"/>
          <w:numId w:val="1"/>
        </w:numPr>
        <w:spacing w:line="276" w:lineRule="auto"/>
        <w:rPr>
          <w:lang w:eastAsia="ja-JP"/>
        </w:rPr>
      </w:pPr>
      <w:r w:rsidRPr="00851E9E">
        <w:rPr>
          <w:lang w:eastAsia="ja-JP"/>
        </w:rPr>
        <w:lastRenderedPageBreak/>
        <w:t>What are the views of state and Commonwealth public authorities consulted in accordance with the Gateway determination?</w:t>
      </w:r>
    </w:p>
    <w:p w14:paraId="2A6C3909" w14:textId="1B60890B" w:rsidR="006F66EC" w:rsidRDefault="00706A3C" w:rsidP="006F66EC">
      <w:pPr>
        <w:pStyle w:val="Body-Black"/>
        <w:spacing w:after="0"/>
        <w:rPr>
          <w:lang w:eastAsia="ja-JP"/>
        </w:rPr>
      </w:pPr>
      <w:r w:rsidRPr="00706A3C">
        <w:rPr>
          <w:lang w:eastAsia="ja-JP"/>
        </w:rPr>
        <w:t>There has been no consultation with Commonwealth public authorities or State Government authorities</w:t>
      </w:r>
      <w:r w:rsidR="009F4CD7">
        <w:rPr>
          <w:lang w:eastAsia="ja-JP"/>
        </w:rPr>
        <w:t>, as the proposal has not yet received a Gateway determination</w:t>
      </w:r>
      <w:r w:rsidRPr="00706A3C">
        <w:rPr>
          <w:lang w:eastAsia="ja-JP"/>
        </w:rPr>
        <w:t xml:space="preserve">. This consultation </w:t>
      </w:r>
      <w:r w:rsidR="001B5CBD">
        <w:rPr>
          <w:lang w:eastAsia="ja-JP"/>
        </w:rPr>
        <w:t>will</w:t>
      </w:r>
      <w:r w:rsidRPr="00706A3C">
        <w:rPr>
          <w:lang w:eastAsia="ja-JP"/>
        </w:rPr>
        <w:t xml:space="preserve"> be undertaken during the community exhibition phase.</w:t>
      </w:r>
    </w:p>
    <w:p w14:paraId="36611F5B" w14:textId="77777777" w:rsidR="0063279A" w:rsidRDefault="0063279A" w:rsidP="004F5AA0">
      <w:pPr>
        <w:pStyle w:val="Heading-Purple"/>
        <w:spacing w:line="276" w:lineRule="auto"/>
        <w:rPr>
          <w:lang w:eastAsia="ja-JP"/>
        </w:rPr>
      </w:pPr>
    </w:p>
    <w:p w14:paraId="6ACA9BAC" w14:textId="77777777" w:rsidR="0063279A" w:rsidRDefault="0063279A">
      <w:pPr>
        <w:rPr>
          <w:rFonts w:ascii="Arial" w:eastAsiaTheme="majorEastAsia" w:hAnsi="Arial" w:cs="Arial"/>
          <w:b/>
          <w:bCs/>
          <w:color w:val="7030A0"/>
          <w:sz w:val="28"/>
          <w:szCs w:val="28"/>
          <w:lang w:val="en-AU" w:eastAsia="ja-JP"/>
        </w:rPr>
      </w:pPr>
      <w:r>
        <w:rPr>
          <w:lang w:eastAsia="ja-JP"/>
        </w:rPr>
        <w:br w:type="page"/>
      </w:r>
    </w:p>
    <w:p w14:paraId="2957EDA4" w14:textId="46FCC97D" w:rsidR="00E645EF" w:rsidRDefault="00E645EF" w:rsidP="004F5AA0">
      <w:pPr>
        <w:pStyle w:val="Heading-Purple"/>
        <w:spacing w:line="276" w:lineRule="auto"/>
        <w:rPr>
          <w:lang w:eastAsia="ja-JP"/>
        </w:rPr>
      </w:pPr>
      <w:bookmarkStart w:id="97" w:name="_Toc59014425"/>
      <w:r w:rsidRPr="00024CE2">
        <w:rPr>
          <w:lang w:eastAsia="ja-JP"/>
        </w:rPr>
        <w:lastRenderedPageBreak/>
        <w:t>Part 4 –</w:t>
      </w:r>
      <w:r w:rsidR="00A722E2" w:rsidRPr="00024CE2">
        <w:rPr>
          <w:lang w:eastAsia="ja-JP"/>
        </w:rPr>
        <w:t xml:space="preserve"> Mapping</w:t>
      </w:r>
      <w:bookmarkEnd w:id="97"/>
    </w:p>
    <w:p w14:paraId="462F2D03" w14:textId="4235AFF2" w:rsidR="00A22156" w:rsidRPr="00AC027E" w:rsidRDefault="00A22156" w:rsidP="00AC027E">
      <w:pPr>
        <w:pStyle w:val="Meconetext"/>
        <w:ind w:left="0"/>
        <w:rPr>
          <w:rFonts w:ascii="Arial" w:hAnsi="Arial"/>
        </w:rPr>
      </w:pPr>
      <w:r w:rsidRPr="00AC027E">
        <w:rPr>
          <w:rFonts w:ascii="Arial" w:hAnsi="Arial"/>
        </w:rPr>
        <w:t xml:space="preserve">A comparison of existing controls and proposed controls is provided in </w:t>
      </w:r>
      <w:r w:rsidRPr="00AC027E">
        <w:rPr>
          <w:rFonts w:ascii="Arial" w:hAnsi="Arial"/>
          <w:b/>
        </w:rPr>
        <w:t xml:space="preserve">Table </w:t>
      </w:r>
      <w:r w:rsidR="00B47AC4">
        <w:rPr>
          <w:rFonts w:ascii="Arial" w:hAnsi="Arial"/>
          <w:b/>
        </w:rPr>
        <w:t>7</w:t>
      </w:r>
      <w:r w:rsidRPr="00AC027E">
        <w:rPr>
          <w:rFonts w:ascii="Arial" w:hAnsi="Arial"/>
        </w:rPr>
        <w:t>.</w:t>
      </w:r>
    </w:p>
    <w:tbl>
      <w:tblPr>
        <w:tblW w:w="8221" w:type="dxa"/>
        <w:tblInd w:w="284" w:type="dxa"/>
        <w:tblBorders>
          <w:top w:val="single" w:sz="4" w:space="0" w:color="BFBFBF"/>
          <w:bottom w:val="single" w:sz="4" w:space="0" w:color="BFBFBF"/>
          <w:insideH w:val="single" w:sz="4" w:space="0" w:color="BFBFBF"/>
          <w:insideV w:val="single" w:sz="4" w:space="0" w:color="BFBFBF"/>
        </w:tblBorders>
        <w:tblLook w:val="00A0" w:firstRow="1" w:lastRow="0" w:firstColumn="1" w:lastColumn="0" w:noHBand="0" w:noVBand="0"/>
      </w:tblPr>
      <w:tblGrid>
        <w:gridCol w:w="2033"/>
        <w:gridCol w:w="3212"/>
        <w:gridCol w:w="2976"/>
      </w:tblGrid>
      <w:tr w:rsidR="00A22156" w:rsidRPr="00AC027E" w14:paraId="6BD53E84" w14:textId="77777777" w:rsidTr="00B47AC4">
        <w:trPr>
          <w:tblHeader/>
        </w:trPr>
        <w:tc>
          <w:tcPr>
            <w:tcW w:w="8221" w:type="dxa"/>
            <w:gridSpan w:val="3"/>
            <w:tcBorders>
              <w:bottom w:val="single" w:sz="4" w:space="0" w:color="BFBFBF"/>
            </w:tcBorders>
            <w:shd w:val="clear" w:color="auto" w:fill="7030A0"/>
          </w:tcPr>
          <w:p w14:paraId="1ADEAE66" w14:textId="694C5F31" w:rsidR="00A22156" w:rsidRPr="00AC027E" w:rsidRDefault="00B47AC4" w:rsidP="00B47AC4">
            <w:pPr>
              <w:pStyle w:val="MeconeTable"/>
              <w:numPr>
                <w:ilvl w:val="0"/>
                <w:numId w:val="0"/>
              </w:numPr>
              <w:rPr>
                <w:rFonts w:ascii="Arial" w:hAnsi="Arial"/>
                <w:color w:val="D8D2C4" w:themeColor="background1"/>
              </w:rPr>
            </w:pPr>
            <w:bookmarkStart w:id="98" w:name="_Toc37082977"/>
            <w:r>
              <w:rPr>
                <w:rFonts w:ascii="Arial" w:hAnsi="Arial"/>
                <w:color w:val="D8D2C4" w:themeColor="background1"/>
              </w:rPr>
              <w:t xml:space="preserve">Table 7: </w:t>
            </w:r>
            <w:r w:rsidR="00A22156" w:rsidRPr="00AC027E">
              <w:rPr>
                <w:rFonts w:ascii="Arial" w:hAnsi="Arial"/>
                <w:color w:val="D8D2C4" w:themeColor="background1"/>
              </w:rPr>
              <w:t>Existing vs. Proposed Controls</w:t>
            </w:r>
            <w:bookmarkEnd w:id="98"/>
          </w:p>
        </w:tc>
      </w:tr>
      <w:tr w:rsidR="00A22156" w:rsidRPr="00AC027E" w14:paraId="46CD966C" w14:textId="77777777" w:rsidTr="00B47AC4">
        <w:trPr>
          <w:tblHeader/>
        </w:trPr>
        <w:tc>
          <w:tcPr>
            <w:tcW w:w="2033" w:type="dxa"/>
            <w:tcBorders>
              <w:right w:val="single" w:sz="4" w:space="0" w:color="BFBFBF"/>
            </w:tcBorders>
            <w:shd w:val="clear" w:color="auto" w:fill="9B73CA" w:themeFill="text1" w:themeFillTint="99"/>
          </w:tcPr>
          <w:p w14:paraId="6ECC4862" w14:textId="77777777" w:rsidR="00A22156" w:rsidRPr="00B47AC4" w:rsidRDefault="00A22156" w:rsidP="003652C9">
            <w:pPr>
              <w:pStyle w:val="Meconetext"/>
              <w:ind w:left="176"/>
              <w:rPr>
                <w:rFonts w:ascii="Arial" w:hAnsi="Arial"/>
              </w:rPr>
            </w:pPr>
            <w:r w:rsidRPr="00B47AC4">
              <w:rPr>
                <w:rFonts w:ascii="Arial" w:hAnsi="Arial"/>
              </w:rPr>
              <w:t>Control</w:t>
            </w:r>
          </w:p>
        </w:tc>
        <w:tc>
          <w:tcPr>
            <w:tcW w:w="3212" w:type="dxa"/>
            <w:tcBorders>
              <w:left w:val="single" w:sz="4" w:space="0" w:color="BFBFBF"/>
              <w:right w:val="single" w:sz="4" w:space="0" w:color="BFBFBF"/>
            </w:tcBorders>
            <w:shd w:val="clear" w:color="auto" w:fill="9B73CA" w:themeFill="text1" w:themeFillTint="99"/>
          </w:tcPr>
          <w:p w14:paraId="2E01D050" w14:textId="77777777" w:rsidR="00A22156" w:rsidRPr="00B47AC4" w:rsidRDefault="00A22156" w:rsidP="003652C9">
            <w:pPr>
              <w:pStyle w:val="Meconetext"/>
              <w:ind w:left="176"/>
              <w:rPr>
                <w:rFonts w:ascii="Arial" w:hAnsi="Arial"/>
              </w:rPr>
            </w:pPr>
            <w:r w:rsidRPr="00B47AC4">
              <w:rPr>
                <w:rFonts w:ascii="Arial" w:hAnsi="Arial"/>
              </w:rPr>
              <w:t>Existing</w:t>
            </w:r>
          </w:p>
        </w:tc>
        <w:tc>
          <w:tcPr>
            <w:tcW w:w="2976" w:type="dxa"/>
            <w:tcBorders>
              <w:left w:val="single" w:sz="4" w:space="0" w:color="BFBFBF"/>
            </w:tcBorders>
            <w:shd w:val="clear" w:color="auto" w:fill="9B73CA" w:themeFill="text1" w:themeFillTint="99"/>
          </w:tcPr>
          <w:p w14:paraId="16A15885" w14:textId="77777777" w:rsidR="00A22156" w:rsidRPr="00B47AC4" w:rsidRDefault="00A22156" w:rsidP="003652C9">
            <w:pPr>
              <w:pStyle w:val="Meconetext"/>
              <w:ind w:left="176"/>
              <w:rPr>
                <w:rFonts w:ascii="Arial" w:hAnsi="Arial"/>
              </w:rPr>
            </w:pPr>
            <w:r w:rsidRPr="00B47AC4">
              <w:rPr>
                <w:rFonts w:ascii="Arial" w:hAnsi="Arial"/>
              </w:rPr>
              <w:t xml:space="preserve">Proposed </w:t>
            </w:r>
          </w:p>
        </w:tc>
      </w:tr>
      <w:tr w:rsidR="00A22156" w:rsidRPr="00AC027E" w14:paraId="2AAD361F" w14:textId="77777777" w:rsidTr="00B47AC4">
        <w:tc>
          <w:tcPr>
            <w:tcW w:w="2033" w:type="dxa"/>
            <w:tcBorders>
              <w:right w:val="single" w:sz="4" w:space="0" w:color="BFBFBF"/>
            </w:tcBorders>
            <w:shd w:val="clear" w:color="auto" w:fill="DDD0ED" w:themeFill="text1" w:themeFillTint="33"/>
          </w:tcPr>
          <w:p w14:paraId="5810783D" w14:textId="77777777" w:rsidR="00A22156" w:rsidRPr="00AC027E" w:rsidRDefault="00A22156" w:rsidP="003652C9">
            <w:pPr>
              <w:pStyle w:val="BodyText"/>
              <w:tabs>
                <w:tab w:val="left" w:pos="318"/>
              </w:tabs>
              <w:spacing w:before="120" w:after="60"/>
              <w:outlineLvl w:val="0"/>
              <w:rPr>
                <w:color w:val="1F1F20"/>
                <w:sz w:val="20"/>
                <w:szCs w:val="20"/>
              </w:rPr>
            </w:pPr>
            <w:bookmarkStart w:id="99" w:name="_Toc59013161"/>
            <w:bookmarkStart w:id="100" w:name="_Toc59014426"/>
            <w:r w:rsidRPr="00AC027E">
              <w:rPr>
                <w:color w:val="1F1F20"/>
                <w:sz w:val="20"/>
                <w:szCs w:val="20"/>
              </w:rPr>
              <w:t>Zone</w:t>
            </w:r>
            <w:bookmarkEnd w:id="99"/>
            <w:bookmarkEnd w:id="100"/>
          </w:p>
        </w:tc>
        <w:tc>
          <w:tcPr>
            <w:tcW w:w="3212" w:type="dxa"/>
            <w:tcBorders>
              <w:left w:val="single" w:sz="4" w:space="0" w:color="BFBFBF"/>
            </w:tcBorders>
            <w:shd w:val="clear" w:color="auto" w:fill="DDD0ED" w:themeFill="text1" w:themeFillTint="33"/>
          </w:tcPr>
          <w:p w14:paraId="0AE18F2F" w14:textId="77777777" w:rsidR="00A22156" w:rsidRPr="00AC027E" w:rsidRDefault="00A22156" w:rsidP="003652C9">
            <w:pPr>
              <w:pStyle w:val="BodyText"/>
              <w:tabs>
                <w:tab w:val="left" w:pos="318"/>
              </w:tabs>
              <w:spacing w:before="120" w:after="60"/>
              <w:outlineLvl w:val="0"/>
              <w:rPr>
                <w:color w:val="1F1F20"/>
                <w:sz w:val="20"/>
                <w:szCs w:val="20"/>
              </w:rPr>
            </w:pPr>
            <w:bookmarkStart w:id="101" w:name="_Toc59013162"/>
            <w:bookmarkStart w:id="102" w:name="_Toc59014427"/>
            <w:r w:rsidRPr="00AC027E">
              <w:rPr>
                <w:color w:val="1F1F20"/>
                <w:sz w:val="20"/>
                <w:szCs w:val="20"/>
              </w:rPr>
              <w:t>IN2 – Light Industrial</w:t>
            </w:r>
            <w:bookmarkEnd w:id="101"/>
            <w:bookmarkEnd w:id="102"/>
          </w:p>
        </w:tc>
        <w:tc>
          <w:tcPr>
            <w:tcW w:w="2976" w:type="dxa"/>
            <w:tcBorders>
              <w:left w:val="single" w:sz="4" w:space="0" w:color="BFBFBF"/>
            </w:tcBorders>
            <w:shd w:val="clear" w:color="auto" w:fill="DDD0ED" w:themeFill="text1" w:themeFillTint="33"/>
          </w:tcPr>
          <w:p w14:paraId="0A3EBB72" w14:textId="77777777" w:rsidR="00A22156" w:rsidRPr="00AC027E" w:rsidRDefault="00A22156" w:rsidP="003652C9">
            <w:pPr>
              <w:pStyle w:val="BodyText"/>
              <w:tabs>
                <w:tab w:val="left" w:pos="318"/>
              </w:tabs>
              <w:spacing w:before="120" w:after="60"/>
              <w:outlineLvl w:val="0"/>
              <w:rPr>
                <w:color w:val="1F1F20"/>
                <w:sz w:val="20"/>
                <w:szCs w:val="20"/>
              </w:rPr>
            </w:pPr>
            <w:bookmarkStart w:id="103" w:name="_Toc59013163"/>
            <w:bookmarkStart w:id="104" w:name="_Toc59014428"/>
            <w:r w:rsidRPr="00AC027E">
              <w:rPr>
                <w:color w:val="1F1F20"/>
                <w:sz w:val="20"/>
                <w:szCs w:val="20"/>
              </w:rPr>
              <w:t>B4 – Mixed Use</w:t>
            </w:r>
            <w:bookmarkEnd w:id="103"/>
            <w:bookmarkEnd w:id="104"/>
          </w:p>
          <w:p w14:paraId="23A9AED3" w14:textId="77777777" w:rsidR="00A22156" w:rsidRPr="00AC027E" w:rsidRDefault="00A22156" w:rsidP="003652C9">
            <w:pPr>
              <w:pStyle w:val="BodyText"/>
              <w:tabs>
                <w:tab w:val="left" w:pos="318"/>
              </w:tabs>
              <w:spacing w:before="120" w:after="60"/>
              <w:outlineLvl w:val="0"/>
              <w:rPr>
                <w:color w:val="1F1F20"/>
                <w:sz w:val="20"/>
                <w:szCs w:val="20"/>
              </w:rPr>
            </w:pPr>
            <w:bookmarkStart w:id="105" w:name="_Toc59013164"/>
            <w:bookmarkStart w:id="106" w:name="_Toc59014429"/>
            <w:r w:rsidRPr="00AC027E">
              <w:rPr>
                <w:color w:val="1F1F20"/>
                <w:sz w:val="20"/>
                <w:szCs w:val="20"/>
              </w:rPr>
              <w:t>B6 – Enterprise Corridor</w:t>
            </w:r>
            <w:bookmarkEnd w:id="105"/>
            <w:bookmarkEnd w:id="106"/>
          </w:p>
          <w:p w14:paraId="3FA4A726" w14:textId="77777777" w:rsidR="00A22156" w:rsidRPr="00AC027E" w:rsidRDefault="00A22156" w:rsidP="003652C9">
            <w:pPr>
              <w:pStyle w:val="BodyText"/>
              <w:tabs>
                <w:tab w:val="left" w:pos="318"/>
              </w:tabs>
              <w:spacing w:before="120" w:after="60"/>
              <w:outlineLvl w:val="0"/>
              <w:rPr>
                <w:color w:val="1F1F20"/>
                <w:sz w:val="20"/>
                <w:szCs w:val="20"/>
              </w:rPr>
            </w:pPr>
            <w:bookmarkStart w:id="107" w:name="_Toc59013165"/>
            <w:bookmarkStart w:id="108" w:name="_Toc59014430"/>
            <w:r w:rsidRPr="00AC027E">
              <w:rPr>
                <w:color w:val="1F1F20"/>
                <w:sz w:val="20"/>
                <w:szCs w:val="20"/>
              </w:rPr>
              <w:t>RE1 – Public Recreation</w:t>
            </w:r>
            <w:bookmarkEnd w:id="107"/>
            <w:bookmarkEnd w:id="108"/>
          </w:p>
        </w:tc>
      </w:tr>
      <w:tr w:rsidR="00A22156" w:rsidRPr="00AC027E" w14:paraId="19746AD3" w14:textId="77777777" w:rsidTr="00B47AC4">
        <w:tc>
          <w:tcPr>
            <w:tcW w:w="2033" w:type="dxa"/>
            <w:tcBorders>
              <w:right w:val="single" w:sz="4" w:space="0" w:color="BFBFBF"/>
            </w:tcBorders>
            <w:shd w:val="clear" w:color="auto" w:fill="DDD0ED" w:themeFill="text1" w:themeFillTint="33"/>
          </w:tcPr>
          <w:p w14:paraId="52020A85" w14:textId="77777777" w:rsidR="00A22156" w:rsidRPr="00AC027E" w:rsidRDefault="00A22156" w:rsidP="003652C9">
            <w:pPr>
              <w:pStyle w:val="BodyText"/>
              <w:tabs>
                <w:tab w:val="left" w:pos="318"/>
              </w:tabs>
              <w:spacing w:before="120" w:after="60"/>
              <w:outlineLvl w:val="0"/>
              <w:rPr>
                <w:color w:val="1F1F20"/>
                <w:sz w:val="20"/>
                <w:szCs w:val="20"/>
              </w:rPr>
            </w:pPr>
            <w:bookmarkStart w:id="109" w:name="_Toc59013166"/>
            <w:bookmarkStart w:id="110" w:name="_Toc59014431"/>
            <w:r w:rsidRPr="00AC027E">
              <w:rPr>
                <w:color w:val="1F1F20"/>
                <w:sz w:val="20"/>
                <w:szCs w:val="20"/>
              </w:rPr>
              <w:t>Height of Buildings</w:t>
            </w:r>
            <w:bookmarkEnd w:id="109"/>
            <w:bookmarkEnd w:id="110"/>
          </w:p>
        </w:tc>
        <w:tc>
          <w:tcPr>
            <w:tcW w:w="3212" w:type="dxa"/>
            <w:tcBorders>
              <w:left w:val="single" w:sz="4" w:space="0" w:color="BFBFBF"/>
            </w:tcBorders>
            <w:shd w:val="clear" w:color="auto" w:fill="DDD0ED" w:themeFill="text1" w:themeFillTint="33"/>
          </w:tcPr>
          <w:p w14:paraId="335A6031" w14:textId="77777777" w:rsidR="00A22156" w:rsidRPr="00AC027E" w:rsidRDefault="00A22156" w:rsidP="003652C9">
            <w:pPr>
              <w:pStyle w:val="BodyText"/>
              <w:spacing w:before="120" w:after="60"/>
              <w:outlineLvl w:val="0"/>
              <w:rPr>
                <w:color w:val="1F1F20"/>
                <w:sz w:val="20"/>
                <w:szCs w:val="20"/>
              </w:rPr>
            </w:pPr>
            <w:bookmarkStart w:id="111" w:name="_Toc59013167"/>
            <w:bookmarkStart w:id="112" w:name="_Toc59014432"/>
            <w:r w:rsidRPr="00AC027E">
              <w:rPr>
                <w:color w:val="1F1F20"/>
                <w:sz w:val="20"/>
                <w:szCs w:val="20"/>
              </w:rPr>
              <w:t>18m and 15m</w:t>
            </w:r>
            <w:bookmarkEnd w:id="111"/>
            <w:bookmarkEnd w:id="112"/>
          </w:p>
        </w:tc>
        <w:tc>
          <w:tcPr>
            <w:tcW w:w="2976" w:type="dxa"/>
            <w:tcBorders>
              <w:left w:val="single" w:sz="4" w:space="0" w:color="BFBFBF"/>
            </w:tcBorders>
            <w:shd w:val="clear" w:color="auto" w:fill="DDD0ED" w:themeFill="text1" w:themeFillTint="33"/>
          </w:tcPr>
          <w:p w14:paraId="2D290368" w14:textId="77777777" w:rsidR="00A22156" w:rsidRPr="00AC027E" w:rsidRDefault="00A22156" w:rsidP="003652C9">
            <w:pPr>
              <w:pStyle w:val="BodyText"/>
              <w:tabs>
                <w:tab w:val="left" w:pos="318"/>
              </w:tabs>
              <w:spacing w:before="120" w:after="60"/>
              <w:outlineLvl w:val="0"/>
              <w:rPr>
                <w:color w:val="1F1F20"/>
                <w:sz w:val="20"/>
                <w:szCs w:val="20"/>
              </w:rPr>
            </w:pPr>
            <w:bookmarkStart w:id="113" w:name="_Toc59013168"/>
            <w:bookmarkStart w:id="114" w:name="_Toc59014433"/>
            <w:r w:rsidRPr="00AC027E">
              <w:rPr>
                <w:color w:val="1F1F20"/>
                <w:sz w:val="20"/>
                <w:szCs w:val="20"/>
              </w:rPr>
              <w:t>136 RL and 108 RL</w:t>
            </w:r>
            <w:bookmarkEnd w:id="113"/>
            <w:bookmarkEnd w:id="114"/>
          </w:p>
        </w:tc>
      </w:tr>
      <w:tr w:rsidR="00A22156" w:rsidRPr="00AC027E" w14:paraId="3AE8119C" w14:textId="77777777" w:rsidTr="00B47AC4">
        <w:tc>
          <w:tcPr>
            <w:tcW w:w="2033" w:type="dxa"/>
            <w:tcBorders>
              <w:right w:val="single" w:sz="4" w:space="0" w:color="BFBFBF"/>
            </w:tcBorders>
            <w:shd w:val="clear" w:color="auto" w:fill="DDD0ED" w:themeFill="text1" w:themeFillTint="33"/>
          </w:tcPr>
          <w:p w14:paraId="2232E36A" w14:textId="77777777" w:rsidR="00A22156" w:rsidRPr="00AC027E" w:rsidRDefault="00A22156" w:rsidP="003652C9">
            <w:pPr>
              <w:pStyle w:val="BodyText"/>
              <w:tabs>
                <w:tab w:val="left" w:pos="318"/>
              </w:tabs>
              <w:spacing w:before="120" w:after="60"/>
              <w:outlineLvl w:val="0"/>
              <w:rPr>
                <w:color w:val="1F1F20"/>
                <w:sz w:val="20"/>
                <w:szCs w:val="20"/>
              </w:rPr>
            </w:pPr>
            <w:bookmarkStart w:id="115" w:name="_Toc59013169"/>
            <w:bookmarkStart w:id="116" w:name="_Toc59014434"/>
            <w:r w:rsidRPr="00AC027E">
              <w:rPr>
                <w:color w:val="1F1F20"/>
                <w:sz w:val="20"/>
                <w:szCs w:val="20"/>
              </w:rPr>
              <w:t>Floor Space Ratio</w:t>
            </w:r>
            <w:bookmarkEnd w:id="115"/>
            <w:bookmarkEnd w:id="116"/>
          </w:p>
        </w:tc>
        <w:tc>
          <w:tcPr>
            <w:tcW w:w="3212" w:type="dxa"/>
            <w:tcBorders>
              <w:left w:val="single" w:sz="4" w:space="0" w:color="BFBFBF"/>
            </w:tcBorders>
            <w:shd w:val="clear" w:color="auto" w:fill="DDD0ED" w:themeFill="text1" w:themeFillTint="33"/>
          </w:tcPr>
          <w:p w14:paraId="154B2D48" w14:textId="77777777" w:rsidR="00A22156" w:rsidRPr="00AC027E" w:rsidRDefault="00A22156" w:rsidP="003652C9">
            <w:pPr>
              <w:pStyle w:val="BodyText"/>
              <w:spacing w:before="120" w:after="60"/>
              <w:outlineLvl w:val="0"/>
              <w:rPr>
                <w:color w:val="1F1F20"/>
                <w:sz w:val="20"/>
                <w:szCs w:val="20"/>
              </w:rPr>
            </w:pPr>
            <w:bookmarkStart w:id="117" w:name="_Toc59013170"/>
            <w:bookmarkStart w:id="118" w:name="_Toc59014435"/>
            <w:r w:rsidRPr="00AC027E">
              <w:rPr>
                <w:color w:val="1F1F20"/>
                <w:sz w:val="20"/>
                <w:szCs w:val="20"/>
              </w:rPr>
              <w:t>0.75:1</w:t>
            </w:r>
            <w:bookmarkEnd w:id="117"/>
            <w:bookmarkEnd w:id="118"/>
            <w:r w:rsidRPr="00AC027E">
              <w:rPr>
                <w:color w:val="1F1F20"/>
                <w:sz w:val="20"/>
                <w:szCs w:val="20"/>
              </w:rPr>
              <w:t xml:space="preserve"> </w:t>
            </w:r>
          </w:p>
        </w:tc>
        <w:tc>
          <w:tcPr>
            <w:tcW w:w="2976" w:type="dxa"/>
            <w:tcBorders>
              <w:left w:val="single" w:sz="4" w:space="0" w:color="BFBFBF"/>
            </w:tcBorders>
            <w:shd w:val="clear" w:color="auto" w:fill="DDD0ED" w:themeFill="text1" w:themeFillTint="33"/>
          </w:tcPr>
          <w:p w14:paraId="0014D97C" w14:textId="77777777" w:rsidR="00A22156" w:rsidRPr="00AC027E" w:rsidRDefault="00A22156" w:rsidP="003652C9">
            <w:pPr>
              <w:pStyle w:val="BodyText"/>
              <w:tabs>
                <w:tab w:val="left" w:pos="318"/>
              </w:tabs>
              <w:spacing w:before="120" w:after="60"/>
              <w:outlineLvl w:val="0"/>
              <w:rPr>
                <w:color w:val="1F1F20"/>
                <w:sz w:val="20"/>
                <w:szCs w:val="20"/>
              </w:rPr>
            </w:pPr>
            <w:bookmarkStart w:id="119" w:name="_Toc59013171"/>
            <w:bookmarkStart w:id="120" w:name="_Toc59014436"/>
            <w:r w:rsidRPr="00AC027E">
              <w:rPr>
                <w:color w:val="1F1F20"/>
                <w:sz w:val="20"/>
                <w:szCs w:val="20"/>
              </w:rPr>
              <w:t>4.2:1 and 3.5:1</w:t>
            </w:r>
            <w:bookmarkEnd w:id="119"/>
            <w:bookmarkEnd w:id="120"/>
            <w:r w:rsidRPr="00AC027E">
              <w:rPr>
                <w:color w:val="1F1F20"/>
                <w:sz w:val="20"/>
                <w:szCs w:val="20"/>
              </w:rPr>
              <w:t xml:space="preserve"> </w:t>
            </w:r>
          </w:p>
        </w:tc>
      </w:tr>
    </w:tbl>
    <w:p w14:paraId="73F863EA" w14:textId="77777777" w:rsidR="00A22156" w:rsidRPr="00AC027E" w:rsidRDefault="00A22156" w:rsidP="00A22156">
      <w:pPr>
        <w:pStyle w:val="Meconetext"/>
        <w:rPr>
          <w:rFonts w:ascii="Arial" w:hAnsi="Arial"/>
        </w:rPr>
      </w:pPr>
      <w:r w:rsidRPr="00AC027E">
        <w:rPr>
          <w:rFonts w:ascii="Arial" w:hAnsi="Arial"/>
        </w:rPr>
        <w:t>Changes are reflected in amendments to the mapping as shown in the figures below.</w:t>
      </w:r>
    </w:p>
    <w:p w14:paraId="1B1DF21C" w14:textId="662C7EB9" w:rsidR="00A22156" w:rsidRDefault="00A22156" w:rsidP="00A22156">
      <w:pPr>
        <w:pStyle w:val="Meconetext"/>
        <w:rPr>
          <w:rFonts w:ascii="Arial" w:hAnsi="Arial"/>
          <w:i/>
          <w:iCs/>
        </w:rPr>
      </w:pPr>
      <w:r w:rsidRPr="00AC027E">
        <w:rPr>
          <w:rFonts w:ascii="Arial" w:hAnsi="Arial"/>
          <w:i/>
          <w:iCs/>
        </w:rPr>
        <w:t>Note: Areas marked white hatching do not apply to the subject Planning Proposal amendment.</w:t>
      </w:r>
    </w:p>
    <w:p w14:paraId="54066735" w14:textId="77777777" w:rsidR="00AC027E" w:rsidRPr="00AC027E" w:rsidRDefault="00AC027E" w:rsidP="00AC027E">
      <w:pPr>
        <w:pStyle w:val="Meconetext"/>
        <w:ind w:left="0"/>
        <w:rPr>
          <w:rFonts w:ascii="Arial" w:hAnsi="Arial"/>
          <w:i/>
          <w:iCs/>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2"/>
      </w:tblGrid>
      <w:tr w:rsidR="00A22156" w14:paraId="679ED786" w14:textId="77777777" w:rsidTr="003652C9">
        <w:tc>
          <w:tcPr>
            <w:tcW w:w="8488" w:type="dxa"/>
          </w:tcPr>
          <w:p w14:paraId="66DDD770" w14:textId="1CBBDFED" w:rsidR="00A22156" w:rsidRDefault="00446B67" w:rsidP="003652C9">
            <w:pPr>
              <w:pStyle w:val="Meconetext"/>
              <w:ind w:left="0"/>
            </w:pPr>
            <w:r>
              <w:rPr>
                <w:noProof/>
              </w:rPr>
              <w:drawing>
                <wp:inline distT="0" distB="0" distL="0" distR="0" wp14:anchorId="59DD4B89" wp14:editId="5798D1F7">
                  <wp:extent cx="5731510" cy="3498850"/>
                  <wp:effectExtent l="0" t="0" r="254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498850"/>
                          </a:xfrm>
                          <a:prstGeom prst="rect">
                            <a:avLst/>
                          </a:prstGeom>
                          <a:noFill/>
                          <a:ln>
                            <a:noFill/>
                          </a:ln>
                        </pic:spPr>
                      </pic:pic>
                    </a:graphicData>
                  </a:graphic>
                </wp:inline>
              </w:drawing>
            </w:r>
          </w:p>
        </w:tc>
      </w:tr>
      <w:tr w:rsidR="00A22156" w14:paraId="678E8EEE" w14:textId="77777777" w:rsidTr="003652C9">
        <w:tc>
          <w:tcPr>
            <w:tcW w:w="8488" w:type="dxa"/>
          </w:tcPr>
          <w:p w14:paraId="53BF28D6" w14:textId="77777777" w:rsidR="00A22156" w:rsidRDefault="00A22156" w:rsidP="003652C9">
            <w:pPr>
              <w:pStyle w:val="Meconetext"/>
              <w:ind w:left="0"/>
            </w:pPr>
            <w:r>
              <w:rPr>
                <w:noProof/>
                <w:lang w:val="en-US"/>
              </w:rPr>
              <w:lastRenderedPageBreak/>
              <w:drawing>
                <wp:inline distT="0" distB="0" distL="0" distR="0" wp14:anchorId="7FD7A7A7" wp14:editId="0F47C129">
                  <wp:extent cx="3240000" cy="2293587"/>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reen Shot 2018-05-31 at 3.50.41 pm.png"/>
                          <pic:cNvPicPr/>
                        </pic:nvPicPr>
                        <pic:blipFill>
                          <a:blip r:embed="rId35"/>
                          <a:stretch>
                            <a:fillRect/>
                          </a:stretch>
                        </pic:blipFill>
                        <pic:spPr bwMode="auto">
                          <a:xfrm>
                            <a:off x="0" y="0"/>
                            <a:ext cx="3240000" cy="229358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noProof/>
                <w:lang w:val="en-US"/>
              </w:rPr>
              <w:drawing>
                <wp:inline distT="0" distB="0" distL="0" distR="0" wp14:anchorId="4EC9EF60" wp14:editId="33F11988">
                  <wp:extent cx="1809357" cy="724486"/>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 Shot 2018-05-31 at 3.42.03 pm.png"/>
                          <pic:cNvPicPr/>
                        </pic:nvPicPr>
                        <pic:blipFill>
                          <a:blip r:embed="rId36"/>
                          <a:stretch>
                            <a:fillRect/>
                          </a:stretch>
                        </pic:blipFill>
                        <pic:spPr>
                          <a:xfrm>
                            <a:off x="0" y="0"/>
                            <a:ext cx="1809357" cy="724486"/>
                          </a:xfrm>
                          <a:prstGeom prst="rect">
                            <a:avLst/>
                          </a:prstGeom>
                        </pic:spPr>
                      </pic:pic>
                    </a:graphicData>
                  </a:graphic>
                </wp:inline>
              </w:drawing>
            </w:r>
          </w:p>
        </w:tc>
      </w:tr>
      <w:tr w:rsidR="00A22156" w14:paraId="2F9247F5" w14:textId="77777777" w:rsidTr="003652C9">
        <w:tc>
          <w:tcPr>
            <w:tcW w:w="8488" w:type="dxa"/>
          </w:tcPr>
          <w:p w14:paraId="630E1D98" w14:textId="77777777" w:rsidR="00A22156" w:rsidRDefault="00A22156" w:rsidP="003652C9">
            <w:pPr>
              <w:pStyle w:val="Meconetext"/>
              <w:ind w:left="0"/>
            </w:pPr>
            <w:r>
              <w:rPr>
                <w:noProof/>
                <w:lang w:val="en-US"/>
              </w:rPr>
              <w:drawing>
                <wp:inline distT="0" distB="0" distL="0" distR="0" wp14:anchorId="436D4036" wp14:editId="51452E3C">
                  <wp:extent cx="3240000" cy="2284338"/>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een Shot 2018-05-31 at 3.51.48 pm.png"/>
                          <pic:cNvPicPr/>
                        </pic:nvPicPr>
                        <pic:blipFill>
                          <a:blip r:embed="rId37"/>
                          <a:stretch>
                            <a:fillRect/>
                          </a:stretch>
                        </pic:blipFill>
                        <pic:spPr bwMode="auto">
                          <a:xfrm>
                            <a:off x="0" y="0"/>
                            <a:ext cx="3240000" cy="228433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noProof/>
                <w:lang w:val="en-US"/>
              </w:rPr>
              <w:drawing>
                <wp:inline distT="0" distB="0" distL="0" distR="0" wp14:anchorId="660B8CBC" wp14:editId="6422F970">
                  <wp:extent cx="1828800" cy="6666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 Shot 2018-05-31 at 3.42.03 pm.png"/>
                          <pic:cNvPicPr/>
                        </pic:nvPicPr>
                        <pic:blipFill rotWithShape="1">
                          <a:blip r:embed="rId38"/>
                          <a:srcRect l="3273"/>
                          <a:stretch/>
                        </pic:blipFill>
                        <pic:spPr bwMode="auto">
                          <a:xfrm>
                            <a:off x="0" y="0"/>
                            <a:ext cx="1870959" cy="682002"/>
                          </a:xfrm>
                          <a:prstGeom prst="rect">
                            <a:avLst/>
                          </a:prstGeom>
                          <a:ln>
                            <a:noFill/>
                          </a:ln>
                          <a:extLst>
                            <a:ext uri="{53640926-AAD7-44D8-BBD7-CCE9431645EC}">
                              <a14:shadowObscured xmlns:a14="http://schemas.microsoft.com/office/drawing/2010/main"/>
                            </a:ext>
                          </a:extLst>
                        </pic:spPr>
                      </pic:pic>
                    </a:graphicData>
                  </a:graphic>
                </wp:inline>
              </w:drawing>
            </w:r>
          </w:p>
        </w:tc>
      </w:tr>
      <w:tr w:rsidR="00A22156" w14:paraId="2494B007" w14:textId="77777777" w:rsidTr="003652C9">
        <w:tc>
          <w:tcPr>
            <w:tcW w:w="8488" w:type="dxa"/>
          </w:tcPr>
          <w:p w14:paraId="19DF3F86" w14:textId="063497F4" w:rsidR="00A22156" w:rsidRDefault="00935187" w:rsidP="003652C9">
            <w:pPr>
              <w:pStyle w:val="Meconetext"/>
              <w:ind w:left="0"/>
            </w:pPr>
            <w:r w:rsidRPr="00935187">
              <w:rPr>
                <w:noProof/>
              </w:rPr>
              <w:lastRenderedPageBreak/>
              <w:drawing>
                <wp:inline distT="0" distB="0" distL="0" distR="0" wp14:anchorId="2AB629C2" wp14:editId="296CCCB4">
                  <wp:extent cx="3791145" cy="39308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791145" cy="3930852"/>
                          </a:xfrm>
                          <a:prstGeom prst="rect">
                            <a:avLst/>
                          </a:prstGeom>
                        </pic:spPr>
                      </pic:pic>
                    </a:graphicData>
                  </a:graphic>
                </wp:inline>
              </w:drawing>
            </w:r>
          </w:p>
        </w:tc>
      </w:tr>
      <w:tr w:rsidR="00A22156" w14:paraId="4BA45A2C" w14:textId="77777777" w:rsidTr="003652C9">
        <w:tc>
          <w:tcPr>
            <w:tcW w:w="8488" w:type="dxa"/>
          </w:tcPr>
          <w:p w14:paraId="7731C6CB" w14:textId="77777777" w:rsidR="00A22156" w:rsidRDefault="00A22156" w:rsidP="003652C9">
            <w:pPr>
              <w:pStyle w:val="Meconetext"/>
              <w:ind w:left="0"/>
              <w:rPr>
                <w:noProof/>
                <w:lang w:val="en-US"/>
              </w:rPr>
            </w:pPr>
          </w:p>
        </w:tc>
      </w:tr>
    </w:tbl>
    <w:p w14:paraId="2C20FF23" w14:textId="5C599E9C" w:rsidR="009B2E7E" w:rsidRDefault="00A22156" w:rsidP="00B650B8">
      <w:pPr>
        <w:pStyle w:val="Caption"/>
        <w:keepNext/>
        <w:spacing w:line="276" w:lineRule="auto"/>
      </w:pPr>
      <w:bookmarkStart w:id="121" w:name="_Toc37862357"/>
      <w:r w:rsidRPr="00B650B8">
        <w:rPr>
          <w:b/>
          <w:bCs/>
        </w:rPr>
        <w:t xml:space="preserve">Figure </w:t>
      </w:r>
      <w:r w:rsidR="00334458">
        <w:rPr>
          <w:b/>
          <w:bCs/>
        </w:rPr>
        <w:t>1</w:t>
      </w:r>
      <w:r w:rsidR="00FD1FDA">
        <w:rPr>
          <w:b/>
          <w:bCs/>
        </w:rPr>
        <w:t>6</w:t>
      </w:r>
      <w:r w:rsidRPr="00B650B8">
        <w:rPr>
          <w:b/>
          <w:bCs/>
        </w:rPr>
        <w:t>:</w:t>
      </w:r>
      <w:r w:rsidRPr="00B20F38">
        <w:t xml:space="preserve"> </w:t>
      </w:r>
      <w:r>
        <w:t>Proposed LEP Maps</w:t>
      </w:r>
      <w:r w:rsidRPr="00B20F38">
        <w:t xml:space="preserve"> (Source: </w:t>
      </w:r>
      <w:r>
        <w:t>LLEP 2008 Modified by Mecone</w:t>
      </w:r>
      <w:r w:rsidR="00570FB6">
        <w:t xml:space="preserve"> and Liverpool City Council</w:t>
      </w:r>
      <w:r w:rsidRPr="00B20F38">
        <w:t>)</w:t>
      </w:r>
      <w:bookmarkEnd w:id="121"/>
    </w:p>
    <w:p w14:paraId="09862456" w14:textId="781C85D2" w:rsidR="00B650B8" w:rsidRPr="00B650B8" w:rsidRDefault="009B2E7E" w:rsidP="00B650B8">
      <w:pPr>
        <w:pStyle w:val="Caption"/>
        <w:keepNext/>
        <w:spacing w:line="276" w:lineRule="auto"/>
      </w:pPr>
      <w:r w:rsidRPr="00E37214">
        <w:rPr>
          <w:b/>
          <w:bCs/>
        </w:rPr>
        <w:t>Note</w:t>
      </w:r>
      <w:r>
        <w:t xml:space="preserve">: A Council resolution has indicated an additional 1.5 hectares of RE1 open space may be </w:t>
      </w:r>
      <w:r w:rsidR="00360714">
        <w:t>required</w:t>
      </w:r>
      <w:r w:rsidR="00E37214">
        <w:t xml:space="preserve"> on-site</w:t>
      </w:r>
      <w:r w:rsidR="00360714">
        <w:t xml:space="preserve">, however </w:t>
      </w:r>
      <w:r w:rsidR="00FD50FD">
        <w:t xml:space="preserve">this </w:t>
      </w:r>
      <w:r w:rsidR="00360714">
        <w:t>will be determined following the completion of an Open Space needs assessment.</w:t>
      </w:r>
      <w:r w:rsidR="008A600A">
        <w:t xml:space="preserve"> The extent of the RE1 area around Lake Moore may also be refined following further studies to define the top of bank.</w:t>
      </w:r>
      <w:r w:rsidR="00B650B8">
        <w:rPr>
          <w:lang w:eastAsia="ja-JP"/>
        </w:rPr>
        <w:br w:type="page"/>
      </w:r>
    </w:p>
    <w:p w14:paraId="7D00DE3C" w14:textId="7A722F1B" w:rsidR="00E645EF" w:rsidRPr="00851E9E" w:rsidRDefault="00E645EF" w:rsidP="004F5AA0">
      <w:pPr>
        <w:pStyle w:val="Heading-Purple"/>
        <w:spacing w:line="276" w:lineRule="auto"/>
        <w:rPr>
          <w:lang w:eastAsia="ja-JP"/>
        </w:rPr>
      </w:pPr>
      <w:bookmarkStart w:id="122" w:name="_Toc59014437"/>
      <w:r w:rsidRPr="00851E9E">
        <w:rPr>
          <w:lang w:eastAsia="ja-JP"/>
        </w:rPr>
        <w:lastRenderedPageBreak/>
        <w:t>Part 5 – Community Consultation</w:t>
      </w:r>
      <w:bookmarkEnd w:id="122"/>
    </w:p>
    <w:p w14:paraId="5E573220" w14:textId="77777777" w:rsidR="00312060" w:rsidRDefault="00312060" w:rsidP="00312060">
      <w:pPr>
        <w:pStyle w:val="Body-Black"/>
        <w:spacing w:after="0"/>
        <w:rPr>
          <w:lang w:eastAsia="ja-JP"/>
        </w:rPr>
      </w:pPr>
    </w:p>
    <w:p w14:paraId="551FFDD6" w14:textId="5F71E52A" w:rsidR="003F6054" w:rsidRDefault="003F6054" w:rsidP="003F6054">
      <w:pPr>
        <w:pStyle w:val="Body-Black"/>
        <w:rPr>
          <w:lang w:eastAsia="ja-JP"/>
        </w:rPr>
      </w:pPr>
      <w:r>
        <w:rPr>
          <w:lang w:eastAsia="ja-JP"/>
        </w:rPr>
        <w:t xml:space="preserve">Schedule 1, Clause 4 of the EP&amp;A Act requires the relevant planning authority to consult with the community in accordance with the Gateway determination. The planning proposal will be publicly exhibited </w:t>
      </w:r>
      <w:r w:rsidR="000D23FB">
        <w:rPr>
          <w:lang w:eastAsia="ja-JP"/>
        </w:rPr>
        <w:t xml:space="preserve">for </w:t>
      </w:r>
      <w:r w:rsidR="00954DD0">
        <w:rPr>
          <w:lang w:eastAsia="ja-JP"/>
        </w:rPr>
        <w:t>a minimum of 28 days, as specified by Gateway determination</w:t>
      </w:r>
      <w:r w:rsidR="00BA7D11">
        <w:rPr>
          <w:lang w:eastAsia="ja-JP"/>
        </w:rPr>
        <w:t>, with notice requirements for public exhibitions adhered to.</w:t>
      </w:r>
    </w:p>
    <w:p w14:paraId="62753AEC" w14:textId="09008F4D" w:rsidR="00BA7D11" w:rsidRDefault="003865EE" w:rsidP="003F6054">
      <w:pPr>
        <w:pStyle w:val="Body-Black"/>
        <w:rPr>
          <w:lang w:eastAsia="ja-JP"/>
        </w:rPr>
      </w:pPr>
      <w:r>
        <w:rPr>
          <w:lang w:eastAsia="ja-JP"/>
        </w:rPr>
        <w:t xml:space="preserve">Council will also consult with relevant public authorities/organisations </w:t>
      </w:r>
      <w:r w:rsidR="00106C05">
        <w:rPr>
          <w:lang w:eastAsia="ja-JP"/>
        </w:rPr>
        <w:t>under section 3.34(2)</w:t>
      </w:r>
      <w:r w:rsidR="00D17857">
        <w:rPr>
          <w:lang w:eastAsia="ja-JP"/>
        </w:rPr>
        <w:t>(d) of the Act and/or to comply with the requirements of relevant section 9.1 Directions:</w:t>
      </w:r>
    </w:p>
    <w:p w14:paraId="4D4D0A42" w14:textId="09101F5D" w:rsidR="00D17857" w:rsidRDefault="00D17857" w:rsidP="00FC567E">
      <w:pPr>
        <w:pStyle w:val="Body-Black"/>
        <w:numPr>
          <w:ilvl w:val="0"/>
          <w:numId w:val="10"/>
        </w:numPr>
        <w:rPr>
          <w:lang w:eastAsia="ja-JP"/>
        </w:rPr>
      </w:pPr>
      <w:r>
        <w:rPr>
          <w:lang w:eastAsia="ja-JP"/>
        </w:rPr>
        <w:t>Relevant infrastructure servicing authorities; and</w:t>
      </w:r>
    </w:p>
    <w:p w14:paraId="4A8FECDB" w14:textId="140FB9FB" w:rsidR="00D17857" w:rsidRDefault="00D17857" w:rsidP="00FC567E">
      <w:pPr>
        <w:pStyle w:val="Body-Black"/>
        <w:numPr>
          <w:ilvl w:val="0"/>
          <w:numId w:val="10"/>
        </w:numPr>
        <w:rPr>
          <w:lang w:eastAsia="ja-JP"/>
        </w:rPr>
      </w:pPr>
      <w:r>
        <w:rPr>
          <w:lang w:eastAsia="ja-JP"/>
        </w:rPr>
        <w:t>Roads and Maritime Services</w:t>
      </w:r>
      <w:r w:rsidR="006E0F40">
        <w:rPr>
          <w:lang w:eastAsia="ja-JP"/>
        </w:rPr>
        <w:t xml:space="preserve"> (Transport for NSW).</w:t>
      </w:r>
    </w:p>
    <w:p w14:paraId="1E270644" w14:textId="5733B9CA" w:rsidR="00DE768E" w:rsidRDefault="00E645EF" w:rsidP="004F5AA0">
      <w:pPr>
        <w:pStyle w:val="Heading-Purple"/>
        <w:spacing w:line="276" w:lineRule="auto"/>
        <w:rPr>
          <w:b w:val="0"/>
          <w:color w:val="auto"/>
          <w:sz w:val="20"/>
          <w:lang w:eastAsia="ja-JP"/>
        </w:rPr>
      </w:pPr>
      <w:bookmarkStart w:id="123" w:name="_Toc59014438"/>
      <w:r w:rsidRPr="00851E9E">
        <w:rPr>
          <w:lang w:eastAsia="ja-JP"/>
        </w:rPr>
        <w:t>Part 6 – Project Timeline</w:t>
      </w:r>
      <w:bookmarkEnd w:id="123"/>
      <w:r w:rsidR="005F4C3E">
        <w:rPr>
          <w:lang w:eastAsia="ja-JP"/>
        </w:rPr>
        <w:br/>
      </w:r>
    </w:p>
    <w:p w14:paraId="64B2F45C" w14:textId="1B4A0042" w:rsidR="001D0A16" w:rsidRPr="00851E9E" w:rsidRDefault="001D0A16" w:rsidP="001D0A16">
      <w:pPr>
        <w:pStyle w:val="Body-Black"/>
        <w:rPr>
          <w:lang w:eastAsia="ja-JP"/>
        </w:rPr>
      </w:pPr>
      <w:r w:rsidRPr="00851E9E">
        <w:rPr>
          <w:lang w:eastAsia="ja-JP"/>
        </w:rPr>
        <w:t xml:space="preserve">An anticipated project timeline is shown in </w:t>
      </w:r>
      <w:r w:rsidRPr="00851E9E">
        <w:rPr>
          <w:lang w:eastAsia="ja-JP"/>
        </w:rPr>
        <w:fldChar w:fldCharType="begin"/>
      </w:r>
      <w:r w:rsidRPr="00851E9E">
        <w:rPr>
          <w:lang w:eastAsia="ja-JP"/>
        </w:rPr>
        <w:instrText xml:space="preserve"> REF _Ref505871973 \h </w:instrText>
      </w:r>
      <w:r>
        <w:rPr>
          <w:lang w:eastAsia="ja-JP"/>
        </w:rPr>
        <w:instrText xml:space="preserve"> \* MERGEFORMAT </w:instrText>
      </w:r>
      <w:r w:rsidRPr="00851E9E">
        <w:rPr>
          <w:lang w:eastAsia="ja-JP"/>
        </w:rPr>
      </w:r>
      <w:r w:rsidRPr="00851E9E">
        <w:rPr>
          <w:lang w:eastAsia="ja-JP"/>
        </w:rPr>
        <w:fldChar w:fldCharType="separate"/>
      </w:r>
      <w:r w:rsidR="00B47AC4" w:rsidRPr="00851E9E">
        <w:t xml:space="preserve">Table </w:t>
      </w:r>
      <w:r w:rsidR="00094433">
        <w:t>8</w:t>
      </w:r>
      <w:r w:rsidRPr="00851E9E">
        <w:rPr>
          <w:lang w:eastAsia="ja-JP"/>
        </w:rPr>
        <w:fldChar w:fldCharType="end"/>
      </w:r>
      <w:r w:rsidRPr="00851E9E">
        <w:rPr>
          <w:lang w:eastAsia="ja-JP"/>
        </w:rPr>
        <w:t>.</w:t>
      </w:r>
    </w:p>
    <w:p w14:paraId="405558F2" w14:textId="6094183C" w:rsidR="001D0A16" w:rsidRPr="00851E9E" w:rsidRDefault="001D0A16" w:rsidP="001D0A16">
      <w:pPr>
        <w:pStyle w:val="Caption"/>
        <w:spacing w:after="0" w:line="276" w:lineRule="auto"/>
        <w:rPr>
          <w:rFonts w:cs="Arial"/>
        </w:rPr>
      </w:pPr>
      <w:bookmarkStart w:id="124" w:name="_Ref505871973"/>
      <w:bookmarkStart w:id="125" w:name="_Ref505871930"/>
      <w:bookmarkStart w:id="126" w:name="_Toc25074744"/>
      <w:bookmarkStart w:id="127" w:name="_Toc46145530"/>
      <w:r w:rsidRPr="00851E9E">
        <w:rPr>
          <w:rFonts w:cs="Arial"/>
        </w:rPr>
        <w:t xml:space="preserve">Table </w:t>
      </w:r>
      <w:bookmarkEnd w:id="124"/>
      <w:r w:rsidR="00094433">
        <w:rPr>
          <w:rFonts w:cs="Arial"/>
        </w:rPr>
        <w:t>8</w:t>
      </w:r>
      <w:r w:rsidRPr="00851E9E">
        <w:rPr>
          <w:rFonts w:cs="Arial"/>
        </w:rPr>
        <w:t xml:space="preserve">: </w:t>
      </w:r>
      <w:r>
        <w:rPr>
          <w:rFonts w:cs="Arial"/>
        </w:rPr>
        <w:t>Indicative</w:t>
      </w:r>
      <w:r w:rsidRPr="00851E9E">
        <w:rPr>
          <w:rFonts w:cs="Arial"/>
        </w:rPr>
        <w:t xml:space="preserve"> </w:t>
      </w:r>
      <w:r>
        <w:rPr>
          <w:rFonts w:cs="Arial"/>
        </w:rPr>
        <w:t>P</w:t>
      </w:r>
      <w:r w:rsidRPr="00851E9E">
        <w:rPr>
          <w:rFonts w:cs="Arial"/>
        </w:rPr>
        <w:t xml:space="preserve">roject </w:t>
      </w:r>
      <w:r>
        <w:rPr>
          <w:rFonts w:cs="Arial"/>
        </w:rPr>
        <w:t>T</w:t>
      </w:r>
      <w:r w:rsidRPr="00851E9E">
        <w:rPr>
          <w:rFonts w:cs="Arial"/>
        </w:rPr>
        <w:t>imeline</w:t>
      </w:r>
      <w:bookmarkEnd w:id="125"/>
      <w:bookmarkEnd w:id="126"/>
      <w:bookmarkEnd w:id="127"/>
    </w:p>
    <w:tbl>
      <w:tblPr>
        <w:tblStyle w:val="TableGridLight"/>
        <w:tblW w:w="0" w:type="auto"/>
        <w:tblLook w:val="04A0" w:firstRow="1" w:lastRow="0" w:firstColumn="1" w:lastColumn="0" w:noHBand="0" w:noVBand="1"/>
      </w:tblPr>
      <w:tblGrid>
        <w:gridCol w:w="3686"/>
        <w:gridCol w:w="5330"/>
      </w:tblGrid>
      <w:tr w:rsidR="001D0A16" w:rsidRPr="003B6F5A" w14:paraId="2216E7C4" w14:textId="77777777" w:rsidTr="001D0A16">
        <w:tc>
          <w:tcPr>
            <w:tcW w:w="3686" w:type="dxa"/>
            <w:tcMar>
              <w:top w:w="57" w:type="dxa"/>
              <w:bottom w:w="57" w:type="dxa"/>
            </w:tcMar>
          </w:tcPr>
          <w:p w14:paraId="2542087E" w14:textId="77777777" w:rsidR="001D0A16" w:rsidRPr="003B6F5A" w:rsidRDefault="001D0A16" w:rsidP="001D0A16">
            <w:pPr>
              <w:pStyle w:val="Body-Black"/>
              <w:spacing w:after="0"/>
              <w:rPr>
                <w:b/>
                <w:lang w:eastAsia="ja-JP"/>
              </w:rPr>
            </w:pPr>
            <w:r w:rsidRPr="003B6F5A">
              <w:rPr>
                <w:b/>
                <w:lang w:eastAsia="ja-JP"/>
              </w:rPr>
              <w:t>Timeframe</w:t>
            </w:r>
          </w:p>
        </w:tc>
        <w:tc>
          <w:tcPr>
            <w:tcW w:w="5330" w:type="dxa"/>
            <w:tcMar>
              <w:top w:w="57" w:type="dxa"/>
              <w:bottom w:w="57" w:type="dxa"/>
            </w:tcMar>
          </w:tcPr>
          <w:p w14:paraId="714C95AC" w14:textId="77777777" w:rsidR="001D0A16" w:rsidRPr="003B6F5A" w:rsidRDefault="001D0A16" w:rsidP="001D0A16">
            <w:pPr>
              <w:pStyle w:val="Body-Black"/>
              <w:spacing w:after="0"/>
              <w:rPr>
                <w:b/>
                <w:lang w:eastAsia="ja-JP"/>
              </w:rPr>
            </w:pPr>
            <w:r w:rsidRPr="003B6F5A">
              <w:rPr>
                <w:b/>
                <w:lang w:eastAsia="ja-JP"/>
              </w:rPr>
              <w:t>Action</w:t>
            </w:r>
          </w:p>
        </w:tc>
      </w:tr>
      <w:tr w:rsidR="001D0A16" w:rsidRPr="003B6F5A" w14:paraId="1EFD923E" w14:textId="77777777" w:rsidTr="001D0A16">
        <w:tc>
          <w:tcPr>
            <w:tcW w:w="3686" w:type="dxa"/>
            <w:shd w:val="clear" w:color="auto" w:fill="E3E3E5" w:themeFill="text2" w:themeFillTint="33"/>
            <w:tcMar>
              <w:top w:w="57" w:type="dxa"/>
              <w:bottom w:w="57" w:type="dxa"/>
            </w:tcMar>
          </w:tcPr>
          <w:p w14:paraId="63C5FC7A" w14:textId="456BBA84" w:rsidR="001D0A16" w:rsidRPr="003B6F5A" w:rsidRDefault="00EA45C1" w:rsidP="001D0A16">
            <w:pPr>
              <w:pStyle w:val="Body-Black"/>
              <w:spacing w:after="0"/>
              <w:rPr>
                <w:lang w:eastAsia="ja-JP"/>
              </w:rPr>
            </w:pPr>
            <w:r>
              <w:rPr>
                <w:lang w:eastAsia="ja-JP"/>
              </w:rPr>
              <w:t>October</w:t>
            </w:r>
            <w:r w:rsidR="00291161">
              <w:rPr>
                <w:lang w:eastAsia="ja-JP"/>
              </w:rPr>
              <w:t xml:space="preserve"> 20</w:t>
            </w:r>
            <w:r>
              <w:rPr>
                <w:lang w:eastAsia="ja-JP"/>
              </w:rPr>
              <w:t>20</w:t>
            </w:r>
          </w:p>
        </w:tc>
        <w:tc>
          <w:tcPr>
            <w:tcW w:w="5330" w:type="dxa"/>
            <w:shd w:val="clear" w:color="auto" w:fill="E3E3E5" w:themeFill="text2" w:themeFillTint="33"/>
            <w:tcMar>
              <w:top w:w="57" w:type="dxa"/>
              <w:bottom w:w="57" w:type="dxa"/>
            </w:tcMar>
          </w:tcPr>
          <w:p w14:paraId="3D73CFF4" w14:textId="77777777" w:rsidR="001D0A16" w:rsidRPr="003B6F5A" w:rsidRDefault="001D0A16" w:rsidP="001D0A16">
            <w:pPr>
              <w:pStyle w:val="Body-Black"/>
              <w:spacing w:after="0"/>
              <w:rPr>
                <w:lang w:eastAsia="ja-JP"/>
              </w:rPr>
            </w:pPr>
            <w:r w:rsidRPr="003B6F5A">
              <w:rPr>
                <w:lang w:eastAsia="ja-JP"/>
              </w:rPr>
              <w:t>Presented at the Local Planning Panel meeting</w:t>
            </w:r>
          </w:p>
        </w:tc>
      </w:tr>
      <w:tr w:rsidR="001D0A16" w:rsidRPr="003B6F5A" w14:paraId="35D36897" w14:textId="77777777" w:rsidTr="001D0A16">
        <w:tc>
          <w:tcPr>
            <w:tcW w:w="3686" w:type="dxa"/>
            <w:tcMar>
              <w:top w:w="57" w:type="dxa"/>
              <w:bottom w:w="57" w:type="dxa"/>
            </w:tcMar>
          </w:tcPr>
          <w:p w14:paraId="00E01CC2" w14:textId="38A18FC3" w:rsidR="001D0A16" w:rsidRPr="003B6F5A" w:rsidRDefault="00EA45C1" w:rsidP="001D0A16">
            <w:pPr>
              <w:pStyle w:val="Body-Black"/>
              <w:spacing w:after="0"/>
              <w:rPr>
                <w:lang w:eastAsia="ja-JP"/>
              </w:rPr>
            </w:pPr>
            <w:r>
              <w:rPr>
                <w:lang w:eastAsia="ja-JP"/>
              </w:rPr>
              <w:t>November</w:t>
            </w:r>
            <w:r w:rsidR="001D0A16" w:rsidRPr="003B6F5A">
              <w:rPr>
                <w:lang w:eastAsia="ja-JP"/>
              </w:rPr>
              <w:t xml:space="preserve"> 20</w:t>
            </w:r>
            <w:r>
              <w:rPr>
                <w:lang w:eastAsia="ja-JP"/>
              </w:rPr>
              <w:t>20</w:t>
            </w:r>
          </w:p>
        </w:tc>
        <w:tc>
          <w:tcPr>
            <w:tcW w:w="5330" w:type="dxa"/>
            <w:tcMar>
              <w:top w:w="57" w:type="dxa"/>
              <w:bottom w:w="57" w:type="dxa"/>
            </w:tcMar>
          </w:tcPr>
          <w:p w14:paraId="30BBF5DA" w14:textId="77777777" w:rsidR="001D0A16" w:rsidRPr="003B6F5A" w:rsidRDefault="001D0A16" w:rsidP="001D0A16">
            <w:pPr>
              <w:pStyle w:val="Body-Black"/>
              <w:spacing w:after="0"/>
              <w:rPr>
                <w:lang w:eastAsia="ja-JP"/>
              </w:rPr>
            </w:pPr>
            <w:r w:rsidRPr="003B6F5A">
              <w:rPr>
                <w:lang w:eastAsia="ja-JP"/>
              </w:rPr>
              <w:t xml:space="preserve">Presented to Liverpool City Council </w:t>
            </w:r>
          </w:p>
        </w:tc>
      </w:tr>
      <w:tr w:rsidR="00BE1DEC" w:rsidRPr="003B6F5A" w14:paraId="7E269BA9" w14:textId="77777777" w:rsidTr="00BE1DEC">
        <w:tc>
          <w:tcPr>
            <w:tcW w:w="3686" w:type="dxa"/>
            <w:shd w:val="clear" w:color="auto" w:fill="E3E3E5" w:themeFill="text2" w:themeFillTint="33"/>
            <w:tcMar>
              <w:top w:w="57" w:type="dxa"/>
              <w:bottom w:w="57" w:type="dxa"/>
            </w:tcMar>
          </w:tcPr>
          <w:p w14:paraId="43A71D5A" w14:textId="10080890" w:rsidR="00BE1DEC" w:rsidRPr="003B6F5A" w:rsidRDefault="00EA45C1" w:rsidP="001D0A16">
            <w:pPr>
              <w:pStyle w:val="Body-Black"/>
              <w:spacing w:after="0"/>
              <w:rPr>
                <w:lang w:eastAsia="ja-JP"/>
              </w:rPr>
            </w:pPr>
            <w:r>
              <w:rPr>
                <w:lang w:eastAsia="ja-JP"/>
              </w:rPr>
              <w:t>December</w:t>
            </w:r>
            <w:r w:rsidR="00BE1DEC" w:rsidRPr="003B6F5A">
              <w:rPr>
                <w:lang w:eastAsia="ja-JP"/>
              </w:rPr>
              <w:t xml:space="preserve"> 20</w:t>
            </w:r>
            <w:r>
              <w:rPr>
                <w:lang w:eastAsia="ja-JP"/>
              </w:rPr>
              <w:t>20</w:t>
            </w:r>
            <w:r w:rsidR="00BE1DEC" w:rsidRPr="003B6F5A">
              <w:rPr>
                <w:lang w:eastAsia="ja-JP"/>
              </w:rPr>
              <w:t xml:space="preserve"> </w:t>
            </w:r>
          </w:p>
        </w:tc>
        <w:tc>
          <w:tcPr>
            <w:tcW w:w="5330" w:type="dxa"/>
            <w:shd w:val="clear" w:color="auto" w:fill="E3E3E5" w:themeFill="text2" w:themeFillTint="33"/>
            <w:tcMar>
              <w:top w:w="57" w:type="dxa"/>
              <w:bottom w:w="57" w:type="dxa"/>
            </w:tcMar>
          </w:tcPr>
          <w:p w14:paraId="7D1DDFFB" w14:textId="5B79A794" w:rsidR="00BE1DEC" w:rsidRPr="003B6F5A" w:rsidRDefault="00291161" w:rsidP="001D0A16">
            <w:pPr>
              <w:pStyle w:val="Body-Black"/>
              <w:spacing w:after="0"/>
              <w:rPr>
                <w:lang w:eastAsia="ja-JP"/>
              </w:rPr>
            </w:pPr>
            <w:r>
              <w:rPr>
                <w:lang w:eastAsia="ja-JP"/>
              </w:rPr>
              <w:t xml:space="preserve">Gateway </w:t>
            </w:r>
            <w:r w:rsidR="00BE1DEC" w:rsidRPr="003B6F5A">
              <w:rPr>
                <w:lang w:eastAsia="ja-JP"/>
              </w:rPr>
              <w:t xml:space="preserve">Review </w:t>
            </w:r>
          </w:p>
        </w:tc>
      </w:tr>
      <w:tr w:rsidR="001D0A16" w:rsidRPr="003B6F5A" w14:paraId="12D5FC40" w14:textId="77777777" w:rsidTr="001D0A16">
        <w:tc>
          <w:tcPr>
            <w:tcW w:w="3686" w:type="dxa"/>
            <w:tcMar>
              <w:top w:w="57" w:type="dxa"/>
              <w:bottom w:w="57" w:type="dxa"/>
            </w:tcMar>
          </w:tcPr>
          <w:p w14:paraId="0F0D071A" w14:textId="5BBC8734" w:rsidR="001D0A16" w:rsidRPr="003B6F5A" w:rsidRDefault="006961D2" w:rsidP="001D0A16">
            <w:pPr>
              <w:pStyle w:val="Body-Black"/>
              <w:spacing w:after="0"/>
              <w:rPr>
                <w:lang w:eastAsia="ja-JP"/>
              </w:rPr>
            </w:pPr>
            <w:r>
              <w:rPr>
                <w:lang w:eastAsia="ja-JP"/>
              </w:rPr>
              <w:t>April</w:t>
            </w:r>
            <w:r w:rsidR="001D0A16" w:rsidRPr="003B6F5A">
              <w:rPr>
                <w:lang w:eastAsia="ja-JP"/>
              </w:rPr>
              <w:t xml:space="preserve"> 20</w:t>
            </w:r>
            <w:r w:rsidR="003B6F5A">
              <w:rPr>
                <w:lang w:eastAsia="ja-JP"/>
              </w:rPr>
              <w:t>2</w:t>
            </w:r>
            <w:r w:rsidR="00EA45C1">
              <w:rPr>
                <w:lang w:eastAsia="ja-JP"/>
              </w:rPr>
              <w:t>1</w:t>
            </w:r>
          </w:p>
        </w:tc>
        <w:tc>
          <w:tcPr>
            <w:tcW w:w="5330" w:type="dxa"/>
            <w:tcMar>
              <w:top w:w="57" w:type="dxa"/>
              <w:bottom w:w="57" w:type="dxa"/>
            </w:tcMar>
          </w:tcPr>
          <w:p w14:paraId="01D63C5A" w14:textId="77777777" w:rsidR="001D0A16" w:rsidRPr="003B6F5A" w:rsidRDefault="001D0A16" w:rsidP="001D0A16">
            <w:pPr>
              <w:pStyle w:val="Body-Black"/>
              <w:spacing w:after="0"/>
              <w:rPr>
                <w:lang w:eastAsia="ja-JP"/>
              </w:rPr>
            </w:pPr>
            <w:r w:rsidRPr="003B6F5A">
              <w:rPr>
                <w:lang w:eastAsia="ja-JP"/>
              </w:rPr>
              <w:t>Gateway Determination issued</w:t>
            </w:r>
          </w:p>
        </w:tc>
      </w:tr>
      <w:tr w:rsidR="007B0151" w:rsidRPr="003B6F5A" w14:paraId="5C6C2DB4" w14:textId="77777777" w:rsidTr="001D0A16">
        <w:tc>
          <w:tcPr>
            <w:tcW w:w="3686" w:type="dxa"/>
            <w:tcMar>
              <w:top w:w="57" w:type="dxa"/>
              <w:bottom w:w="57" w:type="dxa"/>
            </w:tcMar>
          </w:tcPr>
          <w:p w14:paraId="58D9345E" w14:textId="05950832" w:rsidR="007B0151" w:rsidRDefault="007B0151" w:rsidP="001D0A16">
            <w:pPr>
              <w:pStyle w:val="Body-Black"/>
              <w:spacing w:after="0"/>
              <w:rPr>
                <w:lang w:eastAsia="ja-JP"/>
              </w:rPr>
            </w:pPr>
            <w:r>
              <w:rPr>
                <w:lang w:eastAsia="ja-JP"/>
              </w:rPr>
              <w:t>April-</w:t>
            </w:r>
            <w:r w:rsidR="0075166E">
              <w:rPr>
                <w:lang w:eastAsia="ja-JP"/>
              </w:rPr>
              <w:t>July</w:t>
            </w:r>
            <w:r>
              <w:rPr>
                <w:lang w:eastAsia="ja-JP"/>
              </w:rPr>
              <w:t xml:space="preserve"> 2021</w:t>
            </w:r>
          </w:p>
        </w:tc>
        <w:tc>
          <w:tcPr>
            <w:tcW w:w="5330" w:type="dxa"/>
            <w:tcMar>
              <w:top w:w="57" w:type="dxa"/>
              <w:bottom w:w="57" w:type="dxa"/>
            </w:tcMar>
          </w:tcPr>
          <w:p w14:paraId="1FBACD8C" w14:textId="0ECAD93C" w:rsidR="007B0151" w:rsidRPr="003B6F5A" w:rsidRDefault="00EB3C89" w:rsidP="001D0A16">
            <w:pPr>
              <w:pStyle w:val="Body-Black"/>
              <w:spacing w:after="0"/>
              <w:rPr>
                <w:lang w:eastAsia="ja-JP"/>
              </w:rPr>
            </w:pPr>
            <w:r>
              <w:t>Anticipated timeframe for the completion of required technical information.</w:t>
            </w:r>
          </w:p>
        </w:tc>
      </w:tr>
      <w:tr w:rsidR="001D0A16" w:rsidRPr="003B6F5A" w14:paraId="506050F5" w14:textId="77777777" w:rsidTr="001D0A16">
        <w:tc>
          <w:tcPr>
            <w:tcW w:w="3686" w:type="dxa"/>
            <w:shd w:val="clear" w:color="auto" w:fill="E3E3E5" w:themeFill="text2" w:themeFillTint="33"/>
            <w:tcMar>
              <w:top w:w="57" w:type="dxa"/>
              <w:bottom w:w="57" w:type="dxa"/>
            </w:tcMar>
          </w:tcPr>
          <w:p w14:paraId="363AD588" w14:textId="421D7557" w:rsidR="001D0A16" w:rsidRPr="003B6F5A" w:rsidRDefault="001466C7" w:rsidP="003B6F5A">
            <w:pPr>
              <w:pStyle w:val="Body-Black"/>
              <w:spacing w:after="0"/>
              <w:rPr>
                <w:lang w:eastAsia="ja-JP"/>
              </w:rPr>
            </w:pPr>
            <w:r>
              <w:rPr>
                <w:lang w:eastAsia="ja-JP"/>
              </w:rPr>
              <w:t>July</w:t>
            </w:r>
            <w:r w:rsidR="00827B6D">
              <w:rPr>
                <w:lang w:eastAsia="ja-JP"/>
              </w:rPr>
              <w:t xml:space="preserve">-September </w:t>
            </w:r>
            <w:r w:rsidR="003B6F5A">
              <w:rPr>
                <w:lang w:eastAsia="ja-JP"/>
              </w:rPr>
              <w:t>202</w:t>
            </w:r>
            <w:r w:rsidR="00EA45C1">
              <w:rPr>
                <w:lang w:eastAsia="ja-JP"/>
              </w:rPr>
              <w:t>1</w:t>
            </w:r>
          </w:p>
        </w:tc>
        <w:tc>
          <w:tcPr>
            <w:tcW w:w="5330" w:type="dxa"/>
            <w:shd w:val="clear" w:color="auto" w:fill="E3E3E5" w:themeFill="text2" w:themeFillTint="33"/>
            <w:tcMar>
              <w:top w:w="57" w:type="dxa"/>
              <w:bottom w:w="57" w:type="dxa"/>
            </w:tcMar>
          </w:tcPr>
          <w:p w14:paraId="0A1E8851" w14:textId="77777777" w:rsidR="001D0A16" w:rsidRPr="003B6F5A" w:rsidRDefault="001D0A16" w:rsidP="001D0A16">
            <w:pPr>
              <w:pStyle w:val="Body-Black"/>
              <w:spacing w:after="0"/>
              <w:rPr>
                <w:lang w:eastAsia="ja-JP"/>
              </w:rPr>
            </w:pPr>
            <w:r w:rsidRPr="003B6F5A">
              <w:rPr>
                <w:lang w:eastAsia="ja-JP"/>
              </w:rPr>
              <w:t>State agency consultation</w:t>
            </w:r>
          </w:p>
        </w:tc>
      </w:tr>
      <w:tr w:rsidR="001D0A16" w:rsidRPr="003B6F5A" w14:paraId="606F6EFA" w14:textId="77777777" w:rsidTr="001D0A16">
        <w:tc>
          <w:tcPr>
            <w:tcW w:w="3686" w:type="dxa"/>
            <w:tcMar>
              <w:top w:w="57" w:type="dxa"/>
              <w:bottom w:w="57" w:type="dxa"/>
            </w:tcMar>
          </w:tcPr>
          <w:p w14:paraId="1A0EB66D" w14:textId="46D35964" w:rsidR="001D0A16" w:rsidRPr="003B6F5A" w:rsidRDefault="008872F4" w:rsidP="001D0A16">
            <w:pPr>
              <w:pStyle w:val="Body-Black"/>
              <w:spacing w:after="0"/>
              <w:rPr>
                <w:lang w:eastAsia="ja-JP"/>
              </w:rPr>
            </w:pPr>
            <w:r>
              <w:rPr>
                <w:lang w:eastAsia="ja-JP"/>
              </w:rPr>
              <w:t>Augus</w:t>
            </w:r>
            <w:r w:rsidR="00827B6D">
              <w:rPr>
                <w:lang w:eastAsia="ja-JP"/>
              </w:rPr>
              <w:t xml:space="preserve">t-September </w:t>
            </w:r>
            <w:r w:rsidR="00EB4165">
              <w:rPr>
                <w:lang w:eastAsia="ja-JP"/>
              </w:rPr>
              <w:t>202</w:t>
            </w:r>
            <w:r w:rsidR="00EA45C1">
              <w:rPr>
                <w:lang w:eastAsia="ja-JP"/>
              </w:rPr>
              <w:t>1</w:t>
            </w:r>
          </w:p>
        </w:tc>
        <w:tc>
          <w:tcPr>
            <w:tcW w:w="5330" w:type="dxa"/>
            <w:tcMar>
              <w:top w:w="57" w:type="dxa"/>
              <w:bottom w:w="57" w:type="dxa"/>
            </w:tcMar>
          </w:tcPr>
          <w:p w14:paraId="41792AE5" w14:textId="77777777" w:rsidR="001D0A16" w:rsidRPr="003B6F5A" w:rsidRDefault="001D0A16" w:rsidP="001D0A16">
            <w:pPr>
              <w:pStyle w:val="Body-Black"/>
              <w:spacing w:after="0"/>
              <w:rPr>
                <w:lang w:eastAsia="ja-JP"/>
              </w:rPr>
            </w:pPr>
            <w:r w:rsidRPr="003B6F5A">
              <w:rPr>
                <w:lang w:eastAsia="ja-JP"/>
              </w:rPr>
              <w:t>Community consultation</w:t>
            </w:r>
          </w:p>
        </w:tc>
      </w:tr>
      <w:tr w:rsidR="001D0A16" w:rsidRPr="003B6F5A" w14:paraId="58E0C207" w14:textId="77777777" w:rsidTr="001D0A16">
        <w:tc>
          <w:tcPr>
            <w:tcW w:w="3686" w:type="dxa"/>
            <w:shd w:val="clear" w:color="auto" w:fill="E3E3E5" w:themeFill="text2" w:themeFillTint="33"/>
            <w:tcMar>
              <w:top w:w="57" w:type="dxa"/>
              <w:bottom w:w="57" w:type="dxa"/>
            </w:tcMar>
          </w:tcPr>
          <w:p w14:paraId="2E015A38" w14:textId="211B67FC" w:rsidR="001D0A16" w:rsidRPr="003B6F5A" w:rsidRDefault="008872F4" w:rsidP="00EB4165">
            <w:pPr>
              <w:pStyle w:val="Body-Black"/>
              <w:spacing w:after="0"/>
              <w:rPr>
                <w:lang w:eastAsia="ja-JP"/>
              </w:rPr>
            </w:pPr>
            <w:r>
              <w:rPr>
                <w:lang w:eastAsia="ja-JP"/>
              </w:rPr>
              <w:t>September</w:t>
            </w:r>
            <w:r w:rsidR="00827B6D">
              <w:rPr>
                <w:lang w:eastAsia="ja-JP"/>
              </w:rPr>
              <w:t>-October</w:t>
            </w:r>
            <w:r w:rsidR="00EB4165">
              <w:rPr>
                <w:lang w:eastAsia="ja-JP"/>
              </w:rPr>
              <w:t xml:space="preserve"> </w:t>
            </w:r>
            <w:r w:rsidR="001D0A16" w:rsidRPr="003B6F5A">
              <w:rPr>
                <w:lang w:eastAsia="ja-JP"/>
              </w:rPr>
              <w:t>202</w:t>
            </w:r>
            <w:r w:rsidR="00EA45C1">
              <w:rPr>
                <w:lang w:eastAsia="ja-JP"/>
              </w:rPr>
              <w:t>1</w:t>
            </w:r>
            <w:r w:rsidR="001D0A16" w:rsidRPr="003B6F5A">
              <w:rPr>
                <w:lang w:eastAsia="ja-JP"/>
              </w:rPr>
              <w:t xml:space="preserve"> </w:t>
            </w:r>
          </w:p>
        </w:tc>
        <w:tc>
          <w:tcPr>
            <w:tcW w:w="5330" w:type="dxa"/>
            <w:shd w:val="clear" w:color="auto" w:fill="E3E3E5" w:themeFill="text2" w:themeFillTint="33"/>
            <w:tcMar>
              <w:top w:w="57" w:type="dxa"/>
              <w:bottom w:w="57" w:type="dxa"/>
            </w:tcMar>
          </w:tcPr>
          <w:p w14:paraId="04EED151" w14:textId="77777777" w:rsidR="001D0A16" w:rsidRPr="003B6F5A" w:rsidRDefault="001D0A16" w:rsidP="001D0A16">
            <w:pPr>
              <w:pStyle w:val="Body-Black"/>
              <w:spacing w:after="0"/>
              <w:rPr>
                <w:lang w:eastAsia="ja-JP"/>
              </w:rPr>
            </w:pPr>
            <w:r w:rsidRPr="003B6F5A">
              <w:rPr>
                <w:lang w:eastAsia="ja-JP"/>
              </w:rPr>
              <w:t>Consideration of submissions and proposal post-exhibition</w:t>
            </w:r>
          </w:p>
        </w:tc>
      </w:tr>
      <w:tr w:rsidR="001D0A16" w:rsidRPr="003B6F5A" w14:paraId="248EB20B" w14:textId="77777777" w:rsidTr="001D0A16">
        <w:tc>
          <w:tcPr>
            <w:tcW w:w="3686" w:type="dxa"/>
            <w:tcMar>
              <w:top w:w="57" w:type="dxa"/>
              <w:bottom w:w="57" w:type="dxa"/>
            </w:tcMar>
          </w:tcPr>
          <w:p w14:paraId="418069D3" w14:textId="10B7E285" w:rsidR="001D0A16" w:rsidRPr="003B6F5A" w:rsidRDefault="008872F4" w:rsidP="001D0A16">
            <w:pPr>
              <w:pStyle w:val="Body-Black"/>
              <w:spacing w:after="0"/>
              <w:rPr>
                <w:lang w:eastAsia="ja-JP"/>
              </w:rPr>
            </w:pPr>
            <w:r>
              <w:rPr>
                <w:lang w:eastAsia="ja-JP"/>
              </w:rPr>
              <w:t>October</w:t>
            </w:r>
            <w:r w:rsidR="001D0A16" w:rsidRPr="003B6F5A">
              <w:rPr>
                <w:lang w:eastAsia="ja-JP"/>
              </w:rPr>
              <w:t xml:space="preserve"> 202</w:t>
            </w:r>
            <w:r w:rsidR="00EA45C1">
              <w:rPr>
                <w:lang w:eastAsia="ja-JP"/>
              </w:rPr>
              <w:t>1</w:t>
            </w:r>
          </w:p>
        </w:tc>
        <w:tc>
          <w:tcPr>
            <w:tcW w:w="5330" w:type="dxa"/>
            <w:tcMar>
              <w:top w:w="57" w:type="dxa"/>
              <w:bottom w:w="57" w:type="dxa"/>
            </w:tcMar>
          </w:tcPr>
          <w:p w14:paraId="766890FA" w14:textId="77777777" w:rsidR="001D0A16" w:rsidRPr="003B6F5A" w:rsidRDefault="001D0A16" w:rsidP="001D0A16">
            <w:pPr>
              <w:pStyle w:val="Body-Black"/>
              <w:spacing w:after="0"/>
              <w:rPr>
                <w:lang w:eastAsia="ja-JP"/>
              </w:rPr>
            </w:pPr>
            <w:r w:rsidRPr="003B6F5A">
              <w:rPr>
                <w:lang w:eastAsia="ja-JP"/>
              </w:rPr>
              <w:t>Post-exhibition report to Council</w:t>
            </w:r>
          </w:p>
        </w:tc>
      </w:tr>
      <w:tr w:rsidR="00FE0315" w:rsidRPr="003B6F5A" w14:paraId="3D347FD5" w14:textId="77777777" w:rsidTr="001D0A16">
        <w:tc>
          <w:tcPr>
            <w:tcW w:w="3686" w:type="dxa"/>
            <w:shd w:val="clear" w:color="auto" w:fill="E3E3E5" w:themeFill="text2" w:themeFillTint="33"/>
            <w:tcMar>
              <w:top w:w="57" w:type="dxa"/>
              <w:bottom w:w="57" w:type="dxa"/>
            </w:tcMar>
          </w:tcPr>
          <w:p w14:paraId="11512724" w14:textId="102D55BD" w:rsidR="00FE0315" w:rsidRPr="003B6F5A" w:rsidRDefault="00FE0315" w:rsidP="00FE0315">
            <w:pPr>
              <w:pStyle w:val="Body-Black"/>
              <w:spacing w:after="0"/>
              <w:rPr>
                <w:lang w:eastAsia="ja-JP"/>
              </w:rPr>
            </w:pPr>
            <w:r>
              <w:rPr>
                <w:lang w:eastAsia="ja-JP"/>
              </w:rPr>
              <w:t>November 2021</w:t>
            </w:r>
          </w:p>
        </w:tc>
        <w:tc>
          <w:tcPr>
            <w:tcW w:w="5330" w:type="dxa"/>
            <w:shd w:val="clear" w:color="auto" w:fill="E3E3E5" w:themeFill="text2" w:themeFillTint="33"/>
            <w:tcMar>
              <w:top w:w="57" w:type="dxa"/>
              <w:bottom w:w="57" w:type="dxa"/>
            </w:tcMar>
          </w:tcPr>
          <w:p w14:paraId="71574D11" w14:textId="275E0B07" w:rsidR="00FE0315" w:rsidRPr="003B6F5A" w:rsidRDefault="00FE0315" w:rsidP="00FE0315">
            <w:pPr>
              <w:pStyle w:val="Body-Black"/>
              <w:spacing w:after="0"/>
              <w:rPr>
                <w:lang w:eastAsia="ja-JP"/>
              </w:rPr>
            </w:pPr>
            <w:r>
              <w:t>Date of submission to the Department to finalise the LEP.</w:t>
            </w:r>
          </w:p>
        </w:tc>
      </w:tr>
      <w:tr w:rsidR="00FE0315" w:rsidRPr="003B6F5A" w14:paraId="711BAD16" w14:textId="77777777" w:rsidTr="001D0A16">
        <w:tc>
          <w:tcPr>
            <w:tcW w:w="3686" w:type="dxa"/>
            <w:shd w:val="clear" w:color="auto" w:fill="E3E3E5" w:themeFill="text2" w:themeFillTint="33"/>
            <w:tcMar>
              <w:top w:w="57" w:type="dxa"/>
              <w:bottom w:w="57" w:type="dxa"/>
            </w:tcMar>
          </w:tcPr>
          <w:p w14:paraId="6A919D39" w14:textId="4AFD1D58" w:rsidR="00FE0315" w:rsidRDefault="002D28DB" w:rsidP="00FE0315">
            <w:pPr>
              <w:pStyle w:val="Body-Black"/>
              <w:spacing w:after="0"/>
              <w:rPr>
                <w:lang w:eastAsia="ja-JP"/>
              </w:rPr>
            </w:pPr>
            <w:r>
              <w:t>February 2022</w:t>
            </w:r>
          </w:p>
        </w:tc>
        <w:tc>
          <w:tcPr>
            <w:tcW w:w="5330" w:type="dxa"/>
            <w:shd w:val="clear" w:color="auto" w:fill="E3E3E5" w:themeFill="text2" w:themeFillTint="33"/>
            <w:tcMar>
              <w:top w:w="57" w:type="dxa"/>
              <w:bottom w:w="57" w:type="dxa"/>
            </w:tcMar>
          </w:tcPr>
          <w:p w14:paraId="6F497BB4" w14:textId="7A9A6332" w:rsidR="00FE0315" w:rsidRDefault="005D078B" w:rsidP="00FE0315">
            <w:pPr>
              <w:pStyle w:val="Body-Black"/>
              <w:spacing w:after="0"/>
            </w:pPr>
            <w:r>
              <w:t>Anticipate</w:t>
            </w:r>
            <w:r w:rsidR="00211E0B">
              <w:t>d</w:t>
            </w:r>
            <w:r>
              <w:t xml:space="preserve"> date Relevant Planning Authority (RPA) will make the plan (if delegated).</w:t>
            </w:r>
          </w:p>
        </w:tc>
      </w:tr>
      <w:tr w:rsidR="005D078B" w:rsidRPr="003B6F5A" w14:paraId="6C9F3892" w14:textId="77777777" w:rsidTr="001D0A16">
        <w:tc>
          <w:tcPr>
            <w:tcW w:w="3686" w:type="dxa"/>
            <w:shd w:val="clear" w:color="auto" w:fill="E3E3E5" w:themeFill="text2" w:themeFillTint="33"/>
            <w:tcMar>
              <w:top w:w="57" w:type="dxa"/>
              <w:bottom w:w="57" w:type="dxa"/>
            </w:tcMar>
          </w:tcPr>
          <w:p w14:paraId="3725CD99" w14:textId="1503F4DC" w:rsidR="005D078B" w:rsidRDefault="005D078B" w:rsidP="005D078B">
            <w:pPr>
              <w:pStyle w:val="Body-Black"/>
              <w:spacing w:after="0"/>
            </w:pPr>
            <w:r>
              <w:t>February 2022</w:t>
            </w:r>
          </w:p>
        </w:tc>
        <w:tc>
          <w:tcPr>
            <w:tcW w:w="5330" w:type="dxa"/>
            <w:shd w:val="clear" w:color="auto" w:fill="E3E3E5" w:themeFill="text2" w:themeFillTint="33"/>
            <w:tcMar>
              <w:top w:w="57" w:type="dxa"/>
              <w:bottom w:w="57" w:type="dxa"/>
            </w:tcMar>
          </w:tcPr>
          <w:p w14:paraId="404D32B6" w14:textId="19619AA4" w:rsidR="005D078B" w:rsidRDefault="00211E0B" w:rsidP="005D078B">
            <w:pPr>
              <w:pStyle w:val="Body-Black"/>
              <w:spacing w:after="0"/>
            </w:pPr>
            <w:r>
              <w:t>Anticipated date RPA will forward to the Department for notification.</w:t>
            </w:r>
          </w:p>
        </w:tc>
      </w:tr>
    </w:tbl>
    <w:p w14:paraId="2218F58F" w14:textId="77777777" w:rsidR="001D0A16" w:rsidRDefault="001D0A16" w:rsidP="005818B3">
      <w:pPr>
        <w:pStyle w:val="Body-Black"/>
        <w:rPr>
          <w:lang w:eastAsia="ja-JP"/>
        </w:rPr>
      </w:pPr>
    </w:p>
    <w:p w14:paraId="70841D9C" w14:textId="77777777" w:rsidR="00C578A9" w:rsidRDefault="00C578A9">
      <w:pPr>
        <w:rPr>
          <w:rFonts w:ascii="Arial" w:eastAsiaTheme="majorEastAsia" w:hAnsi="Arial" w:cs="Arial"/>
          <w:b/>
          <w:bCs/>
          <w:color w:val="7030A0"/>
          <w:sz w:val="28"/>
          <w:szCs w:val="28"/>
          <w:lang w:val="en-AU" w:eastAsia="ja-JP"/>
        </w:rPr>
      </w:pPr>
      <w:bookmarkStart w:id="128" w:name="_Toc59014439"/>
      <w:r>
        <w:rPr>
          <w:lang w:eastAsia="ja-JP"/>
        </w:rPr>
        <w:br w:type="page"/>
      </w:r>
    </w:p>
    <w:p w14:paraId="2FC585DD" w14:textId="3366241C" w:rsidR="005F4C3E" w:rsidRDefault="005F4C3E" w:rsidP="004F5AA0">
      <w:pPr>
        <w:pStyle w:val="Heading-Purple"/>
        <w:spacing w:line="276" w:lineRule="auto"/>
        <w:rPr>
          <w:lang w:eastAsia="ja-JP"/>
        </w:rPr>
      </w:pPr>
      <w:r>
        <w:rPr>
          <w:lang w:eastAsia="ja-JP"/>
        </w:rPr>
        <w:lastRenderedPageBreak/>
        <w:t>Conclusion and Recommendations</w:t>
      </w:r>
      <w:bookmarkEnd w:id="128"/>
    </w:p>
    <w:p w14:paraId="654EA5F9" w14:textId="77777777" w:rsidR="00DE768E" w:rsidRDefault="00DE768E" w:rsidP="004F5AA0">
      <w:pPr>
        <w:pStyle w:val="Heading-Purple"/>
        <w:spacing w:line="276" w:lineRule="auto"/>
        <w:rPr>
          <w:b w:val="0"/>
          <w:color w:val="auto"/>
          <w:sz w:val="20"/>
          <w:lang w:eastAsia="ja-JP"/>
        </w:rPr>
      </w:pPr>
    </w:p>
    <w:p w14:paraId="6D072CAC" w14:textId="77777777" w:rsidR="000A2864" w:rsidRDefault="000A2864" w:rsidP="000A2864">
      <w:pPr>
        <w:pStyle w:val="Body-Black"/>
        <w:rPr>
          <w:lang w:eastAsia="ja-JP"/>
        </w:rPr>
      </w:pPr>
      <w:r>
        <w:rPr>
          <w:lang w:eastAsia="ja-JP"/>
        </w:rPr>
        <w:t>The planning proposal has been prepared in accordance with:</w:t>
      </w:r>
    </w:p>
    <w:p w14:paraId="4749A949" w14:textId="1C2661DE" w:rsidR="000A2864" w:rsidRDefault="000A2864" w:rsidP="00FC567E">
      <w:pPr>
        <w:pStyle w:val="Body-Black"/>
        <w:numPr>
          <w:ilvl w:val="0"/>
          <w:numId w:val="47"/>
        </w:numPr>
        <w:rPr>
          <w:lang w:eastAsia="ja-JP"/>
        </w:rPr>
      </w:pPr>
      <w:r>
        <w:rPr>
          <w:lang w:eastAsia="ja-JP"/>
        </w:rPr>
        <w:t>Section 3.33 of the Environmental Planning and Assessment Act 1979 (the Act); and</w:t>
      </w:r>
    </w:p>
    <w:p w14:paraId="6FF03773" w14:textId="1FA6B805" w:rsidR="000A2864" w:rsidRDefault="000A2864" w:rsidP="00FC567E">
      <w:pPr>
        <w:pStyle w:val="Body-Black"/>
        <w:numPr>
          <w:ilvl w:val="0"/>
          <w:numId w:val="47"/>
        </w:numPr>
        <w:rPr>
          <w:lang w:eastAsia="ja-JP"/>
        </w:rPr>
      </w:pPr>
      <w:r>
        <w:rPr>
          <w:lang w:eastAsia="ja-JP"/>
        </w:rPr>
        <w:t xml:space="preserve">The NSW Department of Planning and Environment’s (DP&amp;E) A guide to preparing planning proposals. </w:t>
      </w:r>
    </w:p>
    <w:p w14:paraId="6D8C2020" w14:textId="2838B206" w:rsidR="000A2864" w:rsidRDefault="000A2864" w:rsidP="000A2864">
      <w:pPr>
        <w:pStyle w:val="Body-Black"/>
        <w:rPr>
          <w:lang w:eastAsia="ja-JP"/>
        </w:rPr>
      </w:pPr>
      <w:r>
        <w:rPr>
          <w:lang w:eastAsia="ja-JP"/>
        </w:rPr>
        <w:t>The site is located comprises multiple allotments east of Liverpool CBD on the opposite side of the Georges River and north of Newbridge Road. It provides a site area of 32 hectares (approx.) and is currently developed with industrial uses.</w:t>
      </w:r>
    </w:p>
    <w:p w14:paraId="33B95473" w14:textId="77777777" w:rsidR="000A2864" w:rsidRDefault="000A2864" w:rsidP="000A2864">
      <w:pPr>
        <w:pStyle w:val="Body-Black"/>
        <w:rPr>
          <w:lang w:eastAsia="ja-JP"/>
        </w:rPr>
      </w:pPr>
      <w:r>
        <w:rPr>
          <w:lang w:eastAsia="ja-JP"/>
        </w:rPr>
        <w:t xml:space="preserve">The Planning Proposal seeks to realise the ultimate vision of Moore Point as an extension of Liverpool CBD, as manifested through the creation of LLEP 2008, ongoing strategic studies up to the LSPS. </w:t>
      </w:r>
    </w:p>
    <w:p w14:paraId="67E99E1C" w14:textId="77777777" w:rsidR="000A2864" w:rsidRDefault="000A2864" w:rsidP="000A2864">
      <w:pPr>
        <w:pStyle w:val="Body-Black"/>
        <w:rPr>
          <w:lang w:eastAsia="ja-JP"/>
        </w:rPr>
      </w:pPr>
      <w:r>
        <w:rPr>
          <w:lang w:eastAsia="ja-JP"/>
        </w:rPr>
        <w:t xml:space="preserve">This report provides a full justification of the proposal in line with the Department of Planning and Environment’s template for gateway rezonings. The justification demonstrates that the proposal: </w:t>
      </w:r>
    </w:p>
    <w:p w14:paraId="08638C50" w14:textId="35CAE6E3" w:rsidR="000A2864" w:rsidRDefault="000A2864" w:rsidP="00FC567E">
      <w:pPr>
        <w:pStyle w:val="Body-Black"/>
        <w:numPr>
          <w:ilvl w:val="0"/>
          <w:numId w:val="48"/>
        </w:numPr>
        <w:rPr>
          <w:lang w:eastAsia="ja-JP"/>
        </w:rPr>
      </w:pPr>
      <w:r>
        <w:rPr>
          <w:lang w:eastAsia="ja-JP"/>
        </w:rPr>
        <w:t xml:space="preserve">Realises Government objectives for the Georges River North Precinct, expressed both through the Place Strategy and LSPS, to provide a mixture of uses that complement the Liverpool CBD; </w:t>
      </w:r>
    </w:p>
    <w:p w14:paraId="6E0AA15E" w14:textId="12C53749" w:rsidR="000A2864" w:rsidRDefault="000A2864" w:rsidP="00FC567E">
      <w:pPr>
        <w:pStyle w:val="Body-Black"/>
        <w:numPr>
          <w:ilvl w:val="0"/>
          <w:numId w:val="48"/>
        </w:numPr>
        <w:rPr>
          <w:lang w:eastAsia="ja-JP"/>
        </w:rPr>
      </w:pPr>
      <w:r>
        <w:rPr>
          <w:lang w:eastAsia="ja-JP"/>
        </w:rPr>
        <w:t>Complements the objective of Liverpool Collaboration Area as a “rejuvenated river city”;</w:t>
      </w:r>
    </w:p>
    <w:p w14:paraId="28DD77DB" w14:textId="56BE93AB" w:rsidR="000A2864" w:rsidRDefault="000A2864" w:rsidP="00FC567E">
      <w:pPr>
        <w:pStyle w:val="Body-Black"/>
        <w:numPr>
          <w:ilvl w:val="0"/>
          <w:numId w:val="48"/>
        </w:numPr>
        <w:rPr>
          <w:lang w:eastAsia="ja-JP"/>
        </w:rPr>
      </w:pPr>
      <w:r>
        <w:rPr>
          <w:lang w:eastAsia="ja-JP"/>
        </w:rPr>
        <w:t>Assists the collaboration area in achieving its 2036 job and housing targets, which include 18,800 new dwellings and 16,200 new jobs;</w:t>
      </w:r>
    </w:p>
    <w:p w14:paraId="534BC4D4" w14:textId="287B185A" w:rsidR="000A2864" w:rsidRDefault="000A2864" w:rsidP="00FC567E">
      <w:pPr>
        <w:pStyle w:val="Body-Black"/>
        <w:numPr>
          <w:ilvl w:val="0"/>
          <w:numId w:val="48"/>
        </w:numPr>
        <w:rPr>
          <w:lang w:eastAsia="ja-JP"/>
        </w:rPr>
      </w:pPr>
      <w:r>
        <w:rPr>
          <w:lang w:eastAsia="ja-JP"/>
        </w:rPr>
        <w:t xml:space="preserve">Ensure infrastructure is delivered in line with development; </w:t>
      </w:r>
    </w:p>
    <w:p w14:paraId="1CCAE2AB" w14:textId="6C3C41CE" w:rsidR="000A2864" w:rsidRDefault="000A2864" w:rsidP="00FC567E">
      <w:pPr>
        <w:pStyle w:val="Body-Black"/>
        <w:numPr>
          <w:ilvl w:val="0"/>
          <w:numId w:val="48"/>
        </w:numPr>
        <w:rPr>
          <w:lang w:eastAsia="ja-JP"/>
        </w:rPr>
      </w:pPr>
      <w:r>
        <w:rPr>
          <w:lang w:eastAsia="ja-JP"/>
        </w:rPr>
        <w:t xml:space="preserve">Celebrates local character and heritage through the adaptive re-use of existing heritage items; </w:t>
      </w:r>
    </w:p>
    <w:p w14:paraId="2E6671F2" w14:textId="79B45334" w:rsidR="000A2864" w:rsidRDefault="000A2864" w:rsidP="00FC567E">
      <w:pPr>
        <w:pStyle w:val="Body-Black"/>
        <w:numPr>
          <w:ilvl w:val="0"/>
          <w:numId w:val="48"/>
        </w:numPr>
        <w:rPr>
          <w:lang w:eastAsia="ja-JP"/>
        </w:rPr>
      </w:pPr>
      <w:r>
        <w:rPr>
          <w:lang w:eastAsia="ja-JP"/>
        </w:rPr>
        <w:t xml:space="preserve">Provides future housing and jobs within close proximity of a potential future Metro connection to Bankstown and the FAST Corridor; </w:t>
      </w:r>
    </w:p>
    <w:p w14:paraId="2B2E10C1" w14:textId="233AC44D" w:rsidR="000A2864" w:rsidRDefault="000A2864" w:rsidP="00FC567E">
      <w:pPr>
        <w:pStyle w:val="Body-Black"/>
        <w:numPr>
          <w:ilvl w:val="0"/>
          <w:numId w:val="48"/>
        </w:numPr>
        <w:rPr>
          <w:lang w:eastAsia="ja-JP"/>
        </w:rPr>
      </w:pPr>
      <w:r>
        <w:rPr>
          <w:lang w:eastAsia="ja-JP"/>
        </w:rPr>
        <w:t>Enhances access to the Georges River foreshore and improve opportunities along the waterfront;</w:t>
      </w:r>
    </w:p>
    <w:p w14:paraId="21458CAA" w14:textId="3C737389" w:rsidR="000A2864" w:rsidRDefault="000A2864" w:rsidP="00FC567E">
      <w:pPr>
        <w:pStyle w:val="Body-Black"/>
        <w:numPr>
          <w:ilvl w:val="0"/>
          <w:numId w:val="48"/>
        </w:numPr>
        <w:rPr>
          <w:lang w:eastAsia="ja-JP"/>
        </w:rPr>
      </w:pPr>
      <w:r>
        <w:rPr>
          <w:lang w:eastAsia="ja-JP"/>
        </w:rPr>
        <w:t>Provides</w:t>
      </w:r>
      <w:r w:rsidR="00233C5D">
        <w:rPr>
          <w:lang w:eastAsia="ja-JP"/>
        </w:rPr>
        <w:t xml:space="preserve"> ample</w:t>
      </w:r>
      <w:r>
        <w:rPr>
          <w:lang w:eastAsia="ja-JP"/>
        </w:rPr>
        <w:t xml:space="preserve"> active and passive recreation opportunities for residents and workers in the area;</w:t>
      </w:r>
    </w:p>
    <w:p w14:paraId="0432135A" w14:textId="12FB8FBC" w:rsidR="000A2864" w:rsidRDefault="000A2864" w:rsidP="00FC567E">
      <w:pPr>
        <w:pStyle w:val="Body-Black"/>
        <w:numPr>
          <w:ilvl w:val="0"/>
          <w:numId w:val="48"/>
        </w:numPr>
        <w:rPr>
          <w:lang w:eastAsia="ja-JP"/>
        </w:rPr>
      </w:pPr>
      <w:r>
        <w:rPr>
          <w:lang w:eastAsia="ja-JP"/>
        </w:rPr>
        <w:t xml:space="preserve">Acts as a statement of intent to set a benchmark for new development in Moorebank that prioritises a high quality public realm; </w:t>
      </w:r>
    </w:p>
    <w:p w14:paraId="101D2303" w14:textId="078F9AEE" w:rsidR="000A2864" w:rsidRDefault="000A2864" w:rsidP="00FC567E">
      <w:pPr>
        <w:pStyle w:val="Body-Black"/>
        <w:numPr>
          <w:ilvl w:val="0"/>
          <w:numId w:val="48"/>
        </w:numPr>
        <w:rPr>
          <w:lang w:eastAsia="ja-JP"/>
        </w:rPr>
      </w:pPr>
      <w:r>
        <w:rPr>
          <w:lang w:eastAsia="ja-JP"/>
        </w:rPr>
        <w:t xml:space="preserve">Provides new public domain infrastructure and uses conducive to the foreshore nature of the site; </w:t>
      </w:r>
    </w:p>
    <w:p w14:paraId="48D4F039" w14:textId="02A3CBA4" w:rsidR="000A2864" w:rsidRDefault="000A2864" w:rsidP="00FC567E">
      <w:pPr>
        <w:pStyle w:val="Body-Black"/>
        <w:numPr>
          <w:ilvl w:val="0"/>
          <w:numId w:val="48"/>
        </w:numPr>
        <w:rPr>
          <w:lang w:eastAsia="ja-JP"/>
        </w:rPr>
      </w:pPr>
      <w:r>
        <w:rPr>
          <w:lang w:eastAsia="ja-JP"/>
        </w:rPr>
        <w:t xml:space="preserve">Delivers new pedestrian and cycleway improvements along the foreshore, and additional connections from the site to Liverpool CBD and Train Station;  </w:t>
      </w:r>
    </w:p>
    <w:p w14:paraId="2C109526" w14:textId="7527128D" w:rsidR="000A2864" w:rsidRDefault="000A2864" w:rsidP="00FC567E">
      <w:pPr>
        <w:pStyle w:val="Body-Black"/>
        <w:numPr>
          <w:ilvl w:val="0"/>
          <w:numId w:val="48"/>
        </w:numPr>
        <w:rPr>
          <w:lang w:eastAsia="ja-JP"/>
        </w:rPr>
      </w:pPr>
      <w:r>
        <w:rPr>
          <w:lang w:eastAsia="ja-JP"/>
        </w:rPr>
        <w:t>Provides a mix of uses within excellent access existing public transport, community infrastructure, health and education services and Liverpool CBD;</w:t>
      </w:r>
    </w:p>
    <w:p w14:paraId="13368F80" w14:textId="461BCBE7" w:rsidR="000A2864" w:rsidRDefault="000A2864" w:rsidP="00FC567E">
      <w:pPr>
        <w:pStyle w:val="Body-Black"/>
        <w:numPr>
          <w:ilvl w:val="0"/>
          <w:numId w:val="48"/>
        </w:numPr>
        <w:rPr>
          <w:lang w:eastAsia="ja-JP"/>
        </w:rPr>
      </w:pPr>
      <w:r>
        <w:rPr>
          <w:lang w:eastAsia="ja-JP"/>
        </w:rPr>
        <w:t>Enables new services and accommodation in close proximity to the Liverpool Health and Education Precinct and Innovation Precinct; and</w:t>
      </w:r>
    </w:p>
    <w:p w14:paraId="2F2BD9EC" w14:textId="0E337199" w:rsidR="000A2864" w:rsidRDefault="000A2864" w:rsidP="00FC567E">
      <w:pPr>
        <w:pStyle w:val="Body-Black"/>
        <w:numPr>
          <w:ilvl w:val="0"/>
          <w:numId w:val="48"/>
        </w:numPr>
        <w:rPr>
          <w:lang w:eastAsia="ja-JP"/>
        </w:rPr>
      </w:pPr>
      <w:r>
        <w:rPr>
          <w:lang w:eastAsia="ja-JP"/>
        </w:rPr>
        <w:lastRenderedPageBreak/>
        <w:t>Provides high quality mixed use development, which will facilitate opportunities for new employment, housing choice and public amenity.</w:t>
      </w:r>
    </w:p>
    <w:p w14:paraId="323D66AC" w14:textId="759F21E5" w:rsidR="00312060" w:rsidRDefault="000A2864" w:rsidP="000A2864">
      <w:pPr>
        <w:pStyle w:val="Body-Black"/>
        <w:rPr>
          <w:lang w:eastAsia="ja-JP"/>
        </w:rPr>
      </w:pPr>
      <w:r>
        <w:rPr>
          <w:lang w:eastAsia="ja-JP"/>
        </w:rPr>
        <w:t>The Planning Proposal demonstrates the built form and land use propositions sought via amendments to LLEP 2008 are suitable for a Gateway determination, with recommended conditions placed on the Gateway, in</w:t>
      </w:r>
      <w:r w:rsidR="00B83867">
        <w:rPr>
          <w:lang w:eastAsia="ja-JP"/>
        </w:rPr>
        <w:t>cluding the</w:t>
      </w:r>
      <w:r w:rsidR="00FC567E">
        <w:rPr>
          <w:lang w:eastAsia="ja-JP"/>
        </w:rPr>
        <w:t xml:space="preserve"> completion and/or revision of the following studies</w:t>
      </w:r>
      <w:r w:rsidR="00B83867">
        <w:rPr>
          <w:lang w:eastAsia="ja-JP"/>
        </w:rPr>
        <w:t>:</w:t>
      </w:r>
    </w:p>
    <w:p w14:paraId="4F93B267" w14:textId="296B6665" w:rsidR="00FC567E" w:rsidRDefault="00FC567E" w:rsidP="00FC567E">
      <w:pPr>
        <w:pStyle w:val="Body-Black"/>
        <w:numPr>
          <w:ilvl w:val="0"/>
          <w:numId w:val="49"/>
        </w:numPr>
        <w:rPr>
          <w:lang w:eastAsia="ja-JP"/>
        </w:rPr>
      </w:pPr>
      <w:r w:rsidRPr="00FC567E">
        <w:rPr>
          <w:lang w:eastAsia="ja-JP"/>
        </w:rPr>
        <w:t>site contamination</w:t>
      </w:r>
      <w:r>
        <w:rPr>
          <w:lang w:eastAsia="ja-JP"/>
        </w:rPr>
        <w:t xml:space="preserve"> study;</w:t>
      </w:r>
    </w:p>
    <w:p w14:paraId="2F2444C2" w14:textId="5BF84007" w:rsidR="00FC567E" w:rsidRDefault="00FC567E" w:rsidP="00FC567E">
      <w:pPr>
        <w:pStyle w:val="Body-Black"/>
        <w:numPr>
          <w:ilvl w:val="0"/>
          <w:numId w:val="49"/>
        </w:numPr>
        <w:rPr>
          <w:lang w:eastAsia="ja-JP"/>
        </w:rPr>
      </w:pPr>
      <w:r w:rsidRPr="00FC567E">
        <w:rPr>
          <w:lang w:eastAsia="ja-JP"/>
        </w:rPr>
        <w:t>acoustic</w:t>
      </w:r>
      <w:r>
        <w:rPr>
          <w:lang w:eastAsia="ja-JP"/>
        </w:rPr>
        <w:t xml:space="preserve"> study;</w:t>
      </w:r>
    </w:p>
    <w:p w14:paraId="6458BDD7" w14:textId="6A9C0F36" w:rsidR="00FC567E" w:rsidRDefault="00FC567E" w:rsidP="00FC567E">
      <w:pPr>
        <w:pStyle w:val="Body-Black"/>
        <w:numPr>
          <w:ilvl w:val="0"/>
          <w:numId w:val="49"/>
        </w:numPr>
        <w:rPr>
          <w:lang w:eastAsia="ja-JP"/>
        </w:rPr>
      </w:pPr>
      <w:r w:rsidRPr="00FC567E">
        <w:rPr>
          <w:lang w:eastAsia="ja-JP"/>
        </w:rPr>
        <w:t>flood</w:t>
      </w:r>
      <w:r>
        <w:rPr>
          <w:lang w:eastAsia="ja-JP"/>
        </w:rPr>
        <w:t xml:space="preserve"> study;</w:t>
      </w:r>
    </w:p>
    <w:p w14:paraId="2E98D6D8" w14:textId="77777777" w:rsidR="00FC567E" w:rsidRDefault="00FC567E" w:rsidP="00FC567E">
      <w:pPr>
        <w:pStyle w:val="Body-Black"/>
        <w:numPr>
          <w:ilvl w:val="0"/>
          <w:numId w:val="49"/>
        </w:numPr>
        <w:rPr>
          <w:lang w:eastAsia="ja-JP"/>
        </w:rPr>
      </w:pPr>
      <w:r w:rsidRPr="00FC567E">
        <w:rPr>
          <w:lang w:eastAsia="ja-JP"/>
        </w:rPr>
        <w:t>flood evacuation</w:t>
      </w:r>
      <w:r>
        <w:rPr>
          <w:lang w:eastAsia="ja-JP"/>
        </w:rPr>
        <w:t xml:space="preserve"> study;</w:t>
      </w:r>
      <w:r w:rsidRPr="00FC567E">
        <w:rPr>
          <w:lang w:eastAsia="ja-JP"/>
        </w:rPr>
        <w:t xml:space="preserve"> and </w:t>
      </w:r>
    </w:p>
    <w:p w14:paraId="61A1D8FA" w14:textId="3D122250" w:rsidR="00B83867" w:rsidRDefault="00FC567E" w:rsidP="00FC567E">
      <w:pPr>
        <w:pStyle w:val="Body-Black"/>
        <w:numPr>
          <w:ilvl w:val="0"/>
          <w:numId w:val="49"/>
        </w:numPr>
        <w:rPr>
          <w:lang w:eastAsia="ja-JP"/>
        </w:rPr>
      </w:pPr>
      <w:r w:rsidRPr="00FC567E">
        <w:rPr>
          <w:lang w:eastAsia="ja-JP"/>
        </w:rPr>
        <w:t>transport impact assessment</w:t>
      </w:r>
      <w:r>
        <w:rPr>
          <w:lang w:eastAsia="ja-JP"/>
        </w:rPr>
        <w:t>.</w:t>
      </w:r>
    </w:p>
    <w:p w14:paraId="7BBB3B17" w14:textId="7A014DA8" w:rsidR="005A5471" w:rsidRDefault="005A5471" w:rsidP="005A5471">
      <w:pPr>
        <w:pStyle w:val="Body-Black"/>
        <w:rPr>
          <w:lang w:eastAsia="ja-JP"/>
        </w:rPr>
      </w:pPr>
      <w:r>
        <w:rPr>
          <w:lang w:eastAsia="ja-JP"/>
        </w:rPr>
        <w:t xml:space="preserve">The development of a Section 7.11 </w:t>
      </w:r>
      <w:r w:rsidR="00FB6732">
        <w:rPr>
          <w:lang w:eastAsia="ja-JP"/>
        </w:rPr>
        <w:t>Contributions Plan</w:t>
      </w:r>
      <w:r>
        <w:rPr>
          <w:lang w:eastAsia="ja-JP"/>
        </w:rPr>
        <w:t xml:space="preserve"> and </w:t>
      </w:r>
      <w:r w:rsidR="00544A41">
        <w:rPr>
          <w:lang w:eastAsia="ja-JP"/>
        </w:rPr>
        <w:t xml:space="preserve">site-specific </w:t>
      </w:r>
      <w:r>
        <w:rPr>
          <w:lang w:eastAsia="ja-JP"/>
        </w:rPr>
        <w:t>DCP should also be conditioned.</w:t>
      </w:r>
    </w:p>
    <w:p w14:paraId="37F090D8" w14:textId="77777777" w:rsidR="00C077E1" w:rsidRPr="00DE768E" w:rsidRDefault="00C077E1" w:rsidP="000A2864">
      <w:pPr>
        <w:pStyle w:val="Body-Black"/>
        <w:rPr>
          <w:lang w:eastAsia="ja-JP"/>
        </w:rPr>
      </w:pPr>
      <w:r>
        <w:rPr>
          <w:lang w:eastAsia="ja-JP"/>
        </w:rPr>
        <w:t xml:space="preserve">Council also </w:t>
      </w:r>
      <w:r w:rsidR="00081B89">
        <w:rPr>
          <w:lang w:eastAsia="ja-JP"/>
        </w:rPr>
        <w:t>requests</w:t>
      </w:r>
      <w:r w:rsidRPr="00C077E1">
        <w:rPr>
          <w:lang w:eastAsia="ja-JP"/>
        </w:rPr>
        <w:t xml:space="preserve"> that the Department play an active role in the planning process given the strategic significance of this proposal to Liverpool and Greater Sydney</w:t>
      </w:r>
      <w:r w:rsidR="00081B89">
        <w:rPr>
          <w:lang w:eastAsia="ja-JP"/>
        </w:rPr>
        <w:t>.</w:t>
      </w:r>
    </w:p>
    <w:sectPr w:rsidR="00C077E1" w:rsidRPr="00DE768E" w:rsidSect="00830291">
      <w:pgSz w:w="11906" w:h="16838"/>
      <w:pgMar w:top="1440" w:right="1440" w:bottom="1440" w:left="1440" w:header="709" w:footer="709" w:gutter="0"/>
      <w:cols w:space="72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D788A" w14:textId="77777777" w:rsidR="000F5054" w:rsidRDefault="000F5054" w:rsidP="00EF1303">
      <w:pPr>
        <w:spacing w:after="0" w:line="240" w:lineRule="auto"/>
      </w:pPr>
      <w:r>
        <w:separator/>
      </w:r>
    </w:p>
  </w:endnote>
  <w:endnote w:type="continuationSeparator" w:id="0">
    <w:p w14:paraId="7E726EA0" w14:textId="77777777" w:rsidR="000F5054" w:rsidRDefault="000F5054" w:rsidP="00EF1303">
      <w:pPr>
        <w:spacing w:after="0" w:line="240" w:lineRule="auto"/>
      </w:pPr>
      <w:r>
        <w:continuationSeparator/>
      </w:r>
    </w:p>
  </w:endnote>
  <w:endnote w:type="continuationNotice" w:id="1">
    <w:p w14:paraId="48C402EC" w14:textId="77777777" w:rsidR="000F5054" w:rsidRDefault="000F5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swiss"/>
    <w:notTrueType/>
    <w:pitch w:val="default"/>
    <w:sig w:usb0="00000003" w:usb1="00000000" w:usb2="00000000" w:usb3="00000000" w:csb0="00000001" w:csb1="00000000"/>
  </w:font>
  <w:font w:name="Gotham Mediu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wiss 721 BT">
    <w:altName w:val="Calibri"/>
    <w:charset w:val="00"/>
    <w:family w:val="auto"/>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8504" w14:textId="77777777" w:rsidR="003652C9" w:rsidRPr="00EF1303" w:rsidRDefault="003652C9">
    <w:pPr>
      <w:pStyle w:val="Footer"/>
      <w:rPr>
        <w:rFonts w:ascii="Arial" w:hAnsi="Arial" w:cs="Arial"/>
      </w:rPr>
    </w:pPr>
  </w:p>
  <w:p w14:paraId="57D5D2E7" w14:textId="77777777" w:rsidR="003652C9" w:rsidRPr="00EF1303" w:rsidRDefault="003652C9">
    <w:pP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815554"/>
      <w:docPartObj>
        <w:docPartGallery w:val="Page Numbers (Bottom of Page)"/>
        <w:docPartUnique/>
      </w:docPartObj>
    </w:sdtPr>
    <w:sdtEndPr>
      <w:rPr>
        <w:noProof/>
      </w:rPr>
    </w:sdtEndPr>
    <w:sdtContent>
      <w:p w14:paraId="77A0F1BF" w14:textId="3562CBD0" w:rsidR="003652C9" w:rsidRDefault="003652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A6C09A" w14:textId="77777777" w:rsidR="003652C9" w:rsidRPr="00EF1303" w:rsidRDefault="003652C9">
    <w:pP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8A3E" w14:textId="77777777" w:rsidR="003652C9" w:rsidRPr="00EF1303" w:rsidRDefault="003652C9">
    <w:pPr>
      <w:pStyle w:val="Footer"/>
      <w:rPr>
        <w:rFonts w:ascii="Arial" w:hAnsi="Arial" w:cs="Arial"/>
      </w:rPr>
    </w:pPr>
  </w:p>
  <w:p w14:paraId="28F455E0" w14:textId="77777777" w:rsidR="003652C9" w:rsidRPr="00EF1303" w:rsidRDefault="003652C9">
    <w:pPr>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0E3E" w14:textId="0538E724" w:rsidR="003652C9" w:rsidRDefault="003652C9" w:rsidP="00304556">
    <w:pPr>
      <w:pStyle w:val="Body-Black"/>
      <w:tabs>
        <w:tab w:val="right" w:pos="8931"/>
      </w:tabs>
    </w:pPr>
    <w:r>
      <w:t xml:space="preserve">Planning Proposal – Amendment </w:t>
    </w:r>
    <w:r w:rsidR="00C713A8">
      <w:t>90</w:t>
    </w:r>
    <w:r>
      <w:tab/>
    </w:r>
    <w:r>
      <w:fldChar w:fldCharType="begin"/>
    </w:r>
    <w:r>
      <w:instrText xml:space="preserve"> PAGE   \* MERGEFORMAT </w:instrText>
    </w:r>
    <w: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49C9B" w14:textId="77777777" w:rsidR="000F5054" w:rsidRDefault="000F5054" w:rsidP="00EF1303">
      <w:pPr>
        <w:spacing w:after="0" w:line="240" w:lineRule="auto"/>
      </w:pPr>
      <w:r>
        <w:separator/>
      </w:r>
    </w:p>
  </w:footnote>
  <w:footnote w:type="continuationSeparator" w:id="0">
    <w:p w14:paraId="754F0893" w14:textId="77777777" w:rsidR="000F5054" w:rsidRDefault="000F5054" w:rsidP="00EF1303">
      <w:pPr>
        <w:spacing w:after="0" w:line="240" w:lineRule="auto"/>
      </w:pPr>
      <w:r>
        <w:continuationSeparator/>
      </w:r>
    </w:p>
  </w:footnote>
  <w:footnote w:type="continuationNotice" w:id="1">
    <w:p w14:paraId="16EDF2D9" w14:textId="77777777" w:rsidR="000F5054" w:rsidRDefault="000F50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9724" w14:textId="77777777" w:rsidR="003652C9" w:rsidRPr="00EF1303" w:rsidRDefault="003652C9" w:rsidP="00EF1303">
    <w:pPr>
      <w:pStyle w:val="Body-Black"/>
    </w:pPr>
  </w:p>
  <w:p w14:paraId="7AB4EFBB" w14:textId="77777777" w:rsidR="003652C9" w:rsidRPr="00EF1303" w:rsidRDefault="003652C9" w:rsidP="00EF1303">
    <w:pPr>
      <w:pStyle w:val="Body-Blac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8B932" w14:textId="77777777" w:rsidR="003652C9" w:rsidRPr="00EF1303" w:rsidRDefault="003652C9">
    <w:pPr>
      <w:pStyle w:val="Header"/>
      <w:rPr>
        <w:rFonts w:ascii="Arial" w:hAnsi="Arial" w:cs="Arial"/>
      </w:rPr>
    </w:pPr>
  </w:p>
  <w:p w14:paraId="6EF581B0" w14:textId="77777777" w:rsidR="003652C9" w:rsidRPr="00EF1303" w:rsidRDefault="003652C9">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71B2"/>
    <w:multiLevelType w:val="hybridMultilevel"/>
    <w:tmpl w:val="37FAC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C70C8"/>
    <w:multiLevelType w:val="hybridMultilevel"/>
    <w:tmpl w:val="F432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546E20"/>
    <w:multiLevelType w:val="hybridMultilevel"/>
    <w:tmpl w:val="2AB24A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914F61"/>
    <w:multiLevelType w:val="hybridMultilevel"/>
    <w:tmpl w:val="0386791C"/>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9373833"/>
    <w:multiLevelType w:val="hybridMultilevel"/>
    <w:tmpl w:val="692E6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FE2DB5"/>
    <w:multiLevelType w:val="hybridMultilevel"/>
    <w:tmpl w:val="C0AAC054"/>
    <w:lvl w:ilvl="0" w:tplc="0BAAE514">
      <w:start w:val="1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9672FC"/>
    <w:multiLevelType w:val="hybridMultilevel"/>
    <w:tmpl w:val="F362B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573746"/>
    <w:multiLevelType w:val="hybridMultilevel"/>
    <w:tmpl w:val="4E546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CF4819"/>
    <w:multiLevelType w:val="hybridMultilevel"/>
    <w:tmpl w:val="58ECF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FC2F1C"/>
    <w:multiLevelType w:val="hybridMultilevel"/>
    <w:tmpl w:val="EE584BD8"/>
    <w:lvl w:ilvl="0" w:tplc="065A131A">
      <w:start w:val="1"/>
      <w:numFmt w:val="decimal"/>
      <w:pStyle w:val="MeconeTable"/>
      <w:lvlText w:val="Table %1."/>
      <w:lvlJc w:val="left"/>
      <w:pPr>
        <w:ind w:left="360" w:hanging="360"/>
      </w:pPr>
      <w:rPr>
        <w:rFonts w:hint="default"/>
        <w:b/>
        <w:bCs/>
        <w:color w:val="D8D2C4" w:themeColor="background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D30EA"/>
    <w:multiLevelType w:val="hybridMultilevel"/>
    <w:tmpl w:val="A04C2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CC6FCC"/>
    <w:multiLevelType w:val="hybridMultilevel"/>
    <w:tmpl w:val="49440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B42F70"/>
    <w:multiLevelType w:val="hybridMultilevel"/>
    <w:tmpl w:val="35C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F55C36"/>
    <w:multiLevelType w:val="hybridMultilevel"/>
    <w:tmpl w:val="76DA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B658F5"/>
    <w:multiLevelType w:val="hybridMultilevel"/>
    <w:tmpl w:val="F808F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FB648A"/>
    <w:multiLevelType w:val="hybridMultilevel"/>
    <w:tmpl w:val="9EB27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719D7"/>
    <w:multiLevelType w:val="hybridMultilevel"/>
    <w:tmpl w:val="02E20B1E"/>
    <w:lvl w:ilvl="0" w:tplc="56AA2A98">
      <w:start w:val="1"/>
      <w:numFmt w:val="lowerRoman"/>
      <w:lvlText w:val="%1."/>
      <w:lvlJc w:val="left"/>
      <w:pPr>
        <w:ind w:left="27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B64FF8"/>
    <w:multiLevelType w:val="hybridMultilevel"/>
    <w:tmpl w:val="67D27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0D39A3"/>
    <w:multiLevelType w:val="hybridMultilevel"/>
    <w:tmpl w:val="7C10F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497309"/>
    <w:multiLevelType w:val="hybridMultilevel"/>
    <w:tmpl w:val="FB1C0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9A6E25"/>
    <w:multiLevelType w:val="hybridMultilevel"/>
    <w:tmpl w:val="863C4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8D4F61"/>
    <w:multiLevelType w:val="hybridMultilevel"/>
    <w:tmpl w:val="0F929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3E1EE4"/>
    <w:multiLevelType w:val="hybridMultilevel"/>
    <w:tmpl w:val="9FF60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5178DC"/>
    <w:multiLevelType w:val="hybridMultilevel"/>
    <w:tmpl w:val="B7C20D52"/>
    <w:lvl w:ilvl="0" w:tplc="0C090017">
      <w:start w:val="1"/>
      <w:numFmt w:val="lowerLetter"/>
      <w:lvlText w:val="%1)"/>
      <w:lvlJc w:val="left"/>
      <w:pPr>
        <w:ind w:left="1440" w:hanging="360"/>
      </w:pPr>
    </w:lvl>
    <w:lvl w:ilvl="1" w:tplc="507C3CF6">
      <w:start w:val="1"/>
      <w:numFmt w:val="decimal"/>
      <w:lvlText w:val="(%2)"/>
      <w:lvlJc w:val="left"/>
      <w:pPr>
        <w:ind w:left="2520" w:hanging="720"/>
      </w:pPr>
      <w:rPr>
        <w:rFonts w:hint="default"/>
      </w:rPr>
    </w:lvl>
    <w:lvl w:ilvl="2" w:tplc="8340C44E">
      <w:start w:val="1"/>
      <w:numFmt w:val="lowerLetter"/>
      <w:lvlText w:val="(%3)"/>
      <w:lvlJc w:val="left"/>
      <w:pPr>
        <w:ind w:left="3420" w:hanging="720"/>
      </w:pPr>
      <w:rPr>
        <w:rFonts w:hint="default"/>
      </w:rPr>
    </w:lvl>
    <w:lvl w:ilvl="3" w:tplc="67A465E2">
      <w:start w:val="1"/>
      <w:numFmt w:val="lowerRoman"/>
      <w:lvlText w:val="%4."/>
      <w:lvlJc w:val="left"/>
      <w:pPr>
        <w:ind w:left="3960" w:hanging="720"/>
      </w:pPr>
      <w:rPr>
        <w:rFonts w:hint="default"/>
      </w:rPr>
    </w:lvl>
    <w:lvl w:ilvl="4" w:tplc="0C090019">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37CC4014"/>
    <w:multiLevelType w:val="hybridMultilevel"/>
    <w:tmpl w:val="24C03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0006A5"/>
    <w:multiLevelType w:val="hybridMultilevel"/>
    <w:tmpl w:val="4C0E4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344299"/>
    <w:multiLevelType w:val="hybridMultilevel"/>
    <w:tmpl w:val="75362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694FEB"/>
    <w:multiLevelType w:val="multilevel"/>
    <w:tmpl w:val="364A04C2"/>
    <w:styleLink w:val="MeconeList"/>
    <w:lvl w:ilvl="0">
      <w:start w:val="1"/>
      <w:numFmt w:val="decimal"/>
      <w:pStyle w:val="Chapterheading1Mecone"/>
      <w:lvlText w:val="%1"/>
      <w:lvlJc w:val="left"/>
      <w:pPr>
        <w:tabs>
          <w:tab w:val="num" w:pos="284"/>
        </w:tabs>
        <w:ind w:left="284" w:hanging="993"/>
      </w:pPr>
      <w:rPr>
        <w:rFonts w:ascii="Century Gothic" w:hAnsi="Century Gothic" w:hint="default"/>
        <w:b w:val="0"/>
        <w:bCs w:val="0"/>
        <w:i w:val="0"/>
        <w:iCs w:val="0"/>
        <w:color w:val="6CB744"/>
        <w:sz w:val="36"/>
      </w:rPr>
    </w:lvl>
    <w:lvl w:ilvl="1">
      <w:start w:val="1"/>
      <w:numFmt w:val="decimal"/>
      <w:pStyle w:val="SectionHeadingMecone"/>
      <w:lvlText w:val="%1.%2"/>
      <w:lvlJc w:val="left"/>
      <w:pPr>
        <w:tabs>
          <w:tab w:val="num" w:pos="284"/>
        </w:tabs>
        <w:ind w:left="284" w:hanging="993"/>
      </w:pPr>
      <w:rPr>
        <w:rFonts w:ascii="Century Gothic" w:hAnsi="Century Gothic" w:hint="default"/>
        <w:b w:val="0"/>
        <w:bCs w:val="0"/>
        <w:i w:val="0"/>
        <w:iCs w:val="0"/>
        <w:color w:val="6CB744"/>
        <w:sz w:val="28"/>
      </w:rPr>
    </w:lvl>
    <w:lvl w:ilvl="2">
      <w:start w:val="1"/>
      <w:numFmt w:val="decimal"/>
      <w:pStyle w:val="Sectionheadinglvl2-Mecone"/>
      <w:lvlText w:val="%1.%2.%3"/>
      <w:lvlJc w:val="left"/>
      <w:pPr>
        <w:tabs>
          <w:tab w:val="num" w:pos="284"/>
        </w:tabs>
        <w:ind w:left="284" w:hanging="993"/>
      </w:pPr>
      <w:rPr>
        <w:rFonts w:ascii="Century Gothic" w:hAnsi="Century Gothic" w:hint="default"/>
        <w:b/>
        <w:bCs w:val="0"/>
        <w:i w:val="0"/>
        <w:iCs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0204A5"/>
    <w:multiLevelType w:val="hybridMultilevel"/>
    <w:tmpl w:val="C814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A74C3"/>
    <w:multiLevelType w:val="hybridMultilevel"/>
    <w:tmpl w:val="4DDC7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8E1BD6"/>
    <w:multiLevelType w:val="hybridMultilevel"/>
    <w:tmpl w:val="03D8AFA0"/>
    <w:lvl w:ilvl="0" w:tplc="24DEBA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172548A"/>
    <w:multiLevelType w:val="hybridMultilevel"/>
    <w:tmpl w:val="CDD62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7F3562"/>
    <w:multiLevelType w:val="hybridMultilevel"/>
    <w:tmpl w:val="3F5C1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DE547B"/>
    <w:multiLevelType w:val="hybridMultilevel"/>
    <w:tmpl w:val="6E287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355505"/>
    <w:multiLevelType w:val="hybridMultilevel"/>
    <w:tmpl w:val="D5023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ED26E4"/>
    <w:multiLevelType w:val="hybridMultilevel"/>
    <w:tmpl w:val="74D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B447CB"/>
    <w:multiLevelType w:val="hybridMultilevel"/>
    <w:tmpl w:val="F3D26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8405C4"/>
    <w:multiLevelType w:val="hybridMultilevel"/>
    <w:tmpl w:val="4454A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B92C01"/>
    <w:multiLevelType w:val="hybridMultilevel"/>
    <w:tmpl w:val="ADA04F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1B62D9"/>
    <w:multiLevelType w:val="hybridMultilevel"/>
    <w:tmpl w:val="D3B2F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2907BA9"/>
    <w:multiLevelType w:val="hybridMultilevel"/>
    <w:tmpl w:val="43EC0E54"/>
    <w:lvl w:ilvl="0" w:tplc="AF68BB72">
      <w:start w:val="1"/>
      <w:numFmt w:val="decimal"/>
      <w:lvlText w:val="3.%1"/>
      <w:lvlJc w:val="left"/>
      <w:pPr>
        <w:ind w:left="567" w:hanging="567"/>
      </w:pPr>
      <w:rPr>
        <w:rFonts w:hint="default"/>
      </w:rPr>
    </w:lvl>
    <w:lvl w:ilvl="1" w:tplc="D2B883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490367"/>
    <w:multiLevelType w:val="hybridMultilevel"/>
    <w:tmpl w:val="71149AD0"/>
    <w:lvl w:ilvl="0" w:tplc="59965B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6983215"/>
    <w:multiLevelType w:val="hybridMultilevel"/>
    <w:tmpl w:val="1F7C4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D725A6"/>
    <w:multiLevelType w:val="hybridMultilevel"/>
    <w:tmpl w:val="CD7CC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78D6217"/>
    <w:multiLevelType w:val="hybridMultilevel"/>
    <w:tmpl w:val="CE02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C6B046F"/>
    <w:multiLevelType w:val="hybridMultilevel"/>
    <w:tmpl w:val="983EEB02"/>
    <w:lvl w:ilvl="0" w:tplc="507C3CF6">
      <w:start w:val="1"/>
      <w:numFmt w:val="decimal"/>
      <w:lvlText w:val="(%1)"/>
      <w:lvlJc w:val="left"/>
      <w:pPr>
        <w:ind w:left="1440" w:hanging="72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46" w15:restartNumberingAfterBreak="0">
    <w:nsid w:val="6C7F1491"/>
    <w:multiLevelType w:val="hybridMultilevel"/>
    <w:tmpl w:val="61987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ED04C2"/>
    <w:multiLevelType w:val="hybridMultilevel"/>
    <w:tmpl w:val="82D80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C51F58"/>
    <w:multiLevelType w:val="hybridMultilevel"/>
    <w:tmpl w:val="1512ADB8"/>
    <w:lvl w:ilvl="0" w:tplc="59965B22">
      <w:start w:val="1"/>
      <w:numFmt w:val="decimal"/>
      <w:lvlText w:val="(%1)"/>
      <w:lvlJc w:val="left"/>
      <w:pPr>
        <w:ind w:left="720" w:hanging="360"/>
      </w:pPr>
      <w:rPr>
        <w:rFonts w:hint="default"/>
      </w:rPr>
    </w:lvl>
    <w:lvl w:ilvl="1" w:tplc="18B2AD74">
      <w:start w:val="1"/>
      <w:numFmt w:val="lowerLetter"/>
      <w:lvlText w:val="(%2)"/>
      <w:lvlJc w:val="left"/>
      <w:pPr>
        <w:ind w:left="1800" w:hanging="720"/>
      </w:pPr>
      <w:rPr>
        <w:rFonts w:hint="default"/>
      </w:rPr>
    </w:lvl>
    <w:lvl w:ilvl="2" w:tplc="14964246">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1F926C9"/>
    <w:multiLevelType w:val="hybridMultilevel"/>
    <w:tmpl w:val="6C38F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29091F"/>
    <w:multiLevelType w:val="hybridMultilevel"/>
    <w:tmpl w:val="2D904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83035C"/>
    <w:multiLevelType w:val="hybridMultilevel"/>
    <w:tmpl w:val="39946C18"/>
    <w:lvl w:ilvl="0" w:tplc="7BD627BE">
      <w:start w:val="1"/>
      <w:numFmt w:val="lowerLetter"/>
      <w:lvlText w:val="%1)"/>
      <w:lvlJc w:val="left"/>
      <w:pPr>
        <w:ind w:left="1440" w:hanging="360"/>
      </w:pPr>
      <w:rPr>
        <w:rFonts w:hint="default"/>
      </w:rPr>
    </w:lvl>
    <w:lvl w:ilvl="1" w:tplc="507C3CF6">
      <w:start w:val="1"/>
      <w:numFmt w:val="decimal"/>
      <w:lvlText w:val="(%2)"/>
      <w:lvlJc w:val="left"/>
      <w:pPr>
        <w:ind w:left="2520" w:hanging="720"/>
      </w:pPr>
      <w:rPr>
        <w:rFonts w:hint="default"/>
      </w:rPr>
    </w:lvl>
    <w:lvl w:ilvl="2" w:tplc="8340C44E">
      <w:start w:val="1"/>
      <w:numFmt w:val="lowerLetter"/>
      <w:lvlText w:val="(%3)"/>
      <w:lvlJc w:val="left"/>
      <w:pPr>
        <w:ind w:left="3420" w:hanging="720"/>
      </w:pPr>
      <w:rPr>
        <w:rFonts w:hint="default"/>
      </w:rPr>
    </w:lvl>
    <w:lvl w:ilvl="3" w:tplc="67A465E2">
      <w:start w:val="1"/>
      <w:numFmt w:val="lowerRoman"/>
      <w:lvlText w:val="%4."/>
      <w:lvlJc w:val="left"/>
      <w:pPr>
        <w:ind w:left="3960" w:hanging="720"/>
      </w:pPr>
      <w:rPr>
        <w:rFonts w:hint="default"/>
      </w:rPr>
    </w:lvl>
    <w:lvl w:ilvl="4" w:tplc="0C090019">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79200DEC"/>
    <w:multiLevelType w:val="hybridMultilevel"/>
    <w:tmpl w:val="AB6E4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E8B7BD5"/>
    <w:multiLevelType w:val="hybridMultilevel"/>
    <w:tmpl w:val="DA56D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0"/>
  </w:num>
  <w:num w:numId="2">
    <w:abstractNumId w:val="17"/>
  </w:num>
  <w:num w:numId="3">
    <w:abstractNumId w:val="50"/>
  </w:num>
  <w:num w:numId="4">
    <w:abstractNumId w:val="14"/>
  </w:num>
  <w:num w:numId="5">
    <w:abstractNumId w:val="38"/>
  </w:num>
  <w:num w:numId="6">
    <w:abstractNumId w:val="39"/>
  </w:num>
  <w:num w:numId="7">
    <w:abstractNumId w:val="6"/>
  </w:num>
  <w:num w:numId="8">
    <w:abstractNumId w:val="12"/>
  </w:num>
  <w:num w:numId="9">
    <w:abstractNumId w:val="31"/>
  </w:num>
  <w:num w:numId="10">
    <w:abstractNumId w:val="24"/>
  </w:num>
  <w:num w:numId="11">
    <w:abstractNumId w:val="5"/>
  </w:num>
  <w:num w:numId="12">
    <w:abstractNumId w:val="25"/>
  </w:num>
  <w:num w:numId="13">
    <w:abstractNumId w:val="11"/>
  </w:num>
  <w:num w:numId="14">
    <w:abstractNumId w:val="20"/>
  </w:num>
  <w:num w:numId="15">
    <w:abstractNumId w:val="46"/>
  </w:num>
  <w:num w:numId="16">
    <w:abstractNumId w:val="34"/>
  </w:num>
  <w:num w:numId="17">
    <w:abstractNumId w:val="23"/>
  </w:num>
  <w:num w:numId="18">
    <w:abstractNumId w:val="30"/>
  </w:num>
  <w:num w:numId="19">
    <w:abstractNumId w:val="41"/>
  </w:num>
  <w:num w:numId="20">
    <w:abstractNumId w:val="48"/>
  </w:num>
  <w:num w:numId="21">
    <w:abstractNumId w:val="51"/>
  </w:num>
  <w:num w:numId="22">
    <w:abstractNumId w:val="16"/>
  </w:num>
  <w:num w:numId="23">
    <w:abstractNumId w:val="45"/>
  </w:num>
  <w:num w:numId="24">
    <w:abstractNumId w:val="18"/>
  </w:num>
  <w:num w:numId="25">
    <w:abstractNumId w:val="3"/>
  </w:num>
  <w:num w:numId="26">
    <w:abstractNumId w:val="27"/>
  </w:num>
  <w:num w:numId="27">
    <w:abstractNumId w:val="26"/>
  </w:num>
  <w:num w:numId="28">
    <w:abstractNumId w:val="0"/>
  </w:num>
  <w:num w:numId="29">
    <w:abstractNumId w:val="44"/>
  </w:num>
  <w:num w:numId="30">
    <w:abstractNumId w:val="49"/>
  </w:num>
  <w:num w:numId="31">
    <w:abstractNumId w:val="43"/>
  </w:num>
  <w:num w:numId="32">
    <w:abstractNumId w:val="2"/>
  </w:num>
  <w:num w:numId="33">
    <w:abstractNumId w:val="10"/>
  </w:num>
  <w:num w:numId="34">
    <w:abstractNumId w:val="8"/>
  </w:num>
  <w:num w:numId="35">
    <w:abstractNumId w:val="13"/>
  </w:num>
  <w:num w:numId="36">
    <w:abstractNumId w:val="21"/>
  </w:num>
  <w:num w:numId="37">
    <w:abstractNumId w:val="37"/>
  </w:num>
  <w:num w:numId="38">
    <w:abstractNumId w:val="22"/>
  </w:num>
  <w:num w:numId="39">
    <w:abstractNumId w:val="4"/>
  </w:num>
  <w:num w:numId="40">
    <w:abstractNumId w:val="1"/>
  </w:num>
  <w:num w:numId="41">
    <w:abstractNumId w:val="47"/>
  </w:num>
  <w:num w:numId="42">
    <w:abstractNumId w:val="19"/>
  </w:num>
  <w:num w:numId="43">
    <w:abstractNumId w:val="36"/>
  </w:num>
  <w:num w:numId="44">
    <w:abstractNumId w:val="52"/>
  </w:num>
  <w:num w:numId="45">
    <w:abstractNumId w:val="29"/>
  </w:num>
  <w:num w:numId="46">
    <w:abstractNumId w:val="9"/>
  </w:num>
  <w:num w:numId="47">
    <w:abstractNumId w:val="35"/>
  </w:num>
  <w:num w:numId="48">
    <w:abstractNumId w:val="42"/>
  </w:num>
  <w:num w:numId="49">
    <w:abstractNumId w:val="32"/>
  </w:num>
  <w:num w:numId="50">
    <w:abstractNumId w:val="7"/>
  </w:num>
  <w:num w:numId="51">
    <w:abstractNumId w:val="15"/>
  </w:num>
  <w:num w:numId="52">
    <w:abstractNumId w:val="28"/>
  </w:num>
  <w:num w:numId="53">
    <w:abstractNumId w:val="33"/>
  </w:num>
  <w:num w:numId="54">
    <w:abstractNumId w:val="53"/>
  </w:num>
  <w:num w:numId="55">
    <w:abstractNumId w:val="9"/>
    <w:lvlOverride w:ilvl="0">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BF6B103-51B4-48B4-BE1F-41C9ED320E26}"/>
    <w:docVar w:name="dgnword-eventsink" w:val="207895896"/>
    <w:docVar w:name="dgnword-lastRevisionsView" w:val="0"/>
  </w:docVars>
  <w:rsids>
    <w:rsidRoot w:val="004F2A8F"/>
    <w:rsid w:val="00001F73"/>
    <w:rsid w:val="000033D4"/>
    <w:rsid w:val="00004889"/>
    <w:rsid w:val="00004E50"/>
    <w:rsid w:val="00005646"/>
    <w:rsid w:val="00007186"/>
    <w:rsid w:val="00007E5E"/>
    <w:rsid w:val="00010C81"/>
    <w:rsid w:val="00011A86"/>
    <w:rsid w:val="00011EA2"/>
    <w:rsid w:val="00012EB9"/>
    <w:rsid w:val="00012EE4"/>
    <w:rsid w:val="0001389F"/>
    <w:rsid w:val="00014805"/>
    <w:rsid w:val="0001684B"/>
    <w:rsid w:val="00016F85"/>
    <w:rsid w:val="0001775B"/>
    <w:rsid w:val="0002167B"/>
    <w:rsid w:val="00021B26"/>
    <w:rsid w:val="00021DFD"/>
    <w:rsid w:val="000221E9"/>
    <w:rsid w:val="00023AB4"/>
    <w:rsid w:val="00023C03"/>
    <w:rsid w:val="00023CD1"/>
    <w:rsid w:val="00024CE2"/>
    <w:rsid w:val="00025A59"/>
    <w:rsid w:val="0002642C"/>
    <w:rsid w:val="00027222"/>
    <w:rsid w:val="00030179"/>
    <w:rsid w:val="000301CB"/>
    <w:rsid w:val="00030740"/>
    <w:rsid w:val="0003123D"/>
    <w:rsid w:val="000314DE"/>
    <w:rsid w:val="00032100"/>
    <w:rsid w:val="000326C6"/>
    <w:rsid w:val="00032705"/>
    <w:rsid w:val="000352EF"/>
    <w:rsid w:val="00035F86"/>
    <w:rsid w:val="00036FE3"/>
    <w:rsid w:val="000374BD"/>
    <w:rsid w:val="00037AA1"/>
    <w:rsid w:val="00037DEB"/>
    <w:rsid w:val="000415A7"/>
    <w:rsid w:val="00042A02"/>
    <w:rsid w:val="000431B1"/>
    <w:rsid w:val="000440EC"/>
    <w:rsid w:val="0004422B"/>
    <w:rsid w:val="0004437A"/>
    <w:rsid w:val="000459F7"/>
    <w:rsid w:val="00046FD9"/>
    <w:rsid w:val="00051F6D"/>
    <w:rsid w:val="0005206F"/>
    <w:rsid w:val="00052453"/>
    <w:rsid w:val="00052519"/>
    <w:rsid w:val="00052620"/>
    <w:rsid w:val="00052778"/>
    <w:rsid w:val="00054880"/>
    <w:rsid w:val="00054CEB"/>
    <w:rsid w:val="00055723"/>
    <w:rsid w:val="000564C1"/>
    <w:rsid w:val="000566F2"/>
    <w:rsid w:val="0005676E"/>
    <w:rsid w:val="000568FE"/>
    <w:rsid w:val="00057B35"/>
    <w:rsid w:val="00060EB8"/>
    <w:rsid w:val="00061B17"/>
    <w:rsid w:val="0006289F"/>
    <w:rsid w:val="000629FE"/>
    <w:rsid w:val="00063AD8"/>
    <w:rsid w:val="000652DB"/>
    <w:rsid w:val="00065388"/>
    <w:rsid w:val="00066681"/>
    <w:rsid w:val="00067F9F"/>
    <w:rsid w:val="000701FA"/>
    <w:rsid w:val="000704F5"/>
    <w:rsid w:val="0007113B"/>
    <w:rsid w:val="00072362"/>
    <w:rsid w:val="000726A9"/>
    <w:rsid w:val="00072972"/>
    <w:rsid w:val="00072FDF"/>
    <w:rsid w:val="00073733"/>
    <w:rsid w:val="00073CB6"/>
    <w:rsid w:val="00076B23"/>
    <w:rsid w:val="00077861"/>
    <w:rsid w:val="000802C5"/>
    <w:rsid w:val="00081611"/>
    <w:rsid w:val="00081662"/>
    <w:rsid w:val="00081B89"/>
    <w:rsid w:val="000822AD"/>
    <w:rsid w:val="0008377D"/>
    <w:rsid w:val="000837EB"/>
    <w:rsid w:val="00085659"/>
    <w:rsid w:val="000864DC"/>
    <w:rsid w:val="00086773"/>
    <w:rsid w:val="00086C88"/>
    <w:rsid w:val="000901B6"/>
    <w:rsid w:val="0009171C"/>
    <w:rsid w:val="00091782"/>
    <w:rsid w:val="00091EAB"/>
    <w:rsid w:val="00092D5A"/>
    <w:rsid w:val="000933CA"/>
    <w:rsid w:val="00093774"/>
    <w:rsid w:val="00094433"/>
    <w:rsid w:val="00096CC7"/>
    <w:rsid w:val="000A0477"/>
    <w:rsid w:val="000A0BB9"/>
    <w:rsid w:val="000A0D60"/>
    <w:rsid w:val="000A1062"/>
    <w:rsid w:val="000A2527"/>
    <w:rsid w:val="000A2864"/>
    <w:rsid w:val="000A3098"/>
    <w:rsid w:val="000A3C80"/>
    <w:rsid w:val="000A4BC2"/>
    <w:rsid w:val="000A63FF"/>
    <w:rsid w:val="000B02DD"/>
    <w:rsid w:val="000B08DF"/>
    <w:rsid w:val="000B20B8"/>
    <w:rsid w:val="000B2D7D"/>
    <w:rsid w:val="000B3464"/>
    <w:rsid w:val="000B478B"/>
    <w:rsid w:val="000B4D80"/>
    <w:rsid w:val="000B4EBE"/>
    <w:rsid w:val="000B559F"/>
    <w:rsid w:val="000B5757"/>
    <w:rsid w:val="000B5916"/>
    <w:rsid w:val="000B7F15"/>
    <w:rsid w:val="000C0879"/>
    <w:rsid w:val="000C089A"/>
    <w:rsid w:val="000C2275"/>
    <w:rsid w:val="000C25D4"/>
    <w:rsid w:val="000C532F"/>
    <w:rsid w:val="000C600C"/>
    <w:rsid w:val="000C6697"/>
    <w:rsid w:val="000C7B18"/>
    <w:rsid w:val="000D114B"/>
    <w:rsid w:val="000D23FB"/>
    <w:rsid w:val="000D3F2B"/>
    <w:rsid w:val="000D404F"/>
    <w:rsid w:val="000D4E16"/>
    <w:rsid w:val="000E02A0"/>
    <w:rsid w:val="000E0800"/>
    <w:rsid w:val="000E0DFA"/>
    <w:rsid w:val="000E2A70"/>
    <w:rsid w:val="000E2D0B"/>
    <w:rsid w:val="000E34F3"/>
    <w:rsid w:val="000E365D"/>
    <w:rsid w:val="000E4B9D"/>
    <w:rsid w:val="000E5543"/>
    <w:rsid w:val="000E659A"/>
    <w:rsid w:val="000E6749"/>
    <w:rsid w:val="000E68B5"/>
    <w:rsid w:val="000E6A1E"/>
    <w:rsid w:val="000E6B6F"/>
    <w:rsid w:val="000F1126"/>
    <w:rsid w:val="000F12E1"/>
    <w:rsid w:val="000F178B"/>
    <w:rsid w:val="000F301A"/>
    <w:rsid w:val="000F3122"/>
    <w:rsid w:val="000F31B3"/>
    <w:rsid w:val="000F46A1"/>
    <w:rsid w:val="000F5054"/>
    <w:rsid w:val="000F5329"/>
    <w:rsid w:val="000F63F5"/>
    <w:rsid w:val="000F647C"/>
    <w:rsid w:val="000F6760"/>
    <w:rsid w:val="001007AE"/>
    <w:rsid w:val="0010115F"/>
    <w:rsid w:val="00101699"/>
    <w:rsid w:val="001018C9"/>
    <w:rsid w:val="00101BA4"/>
    <w:rsid w:val="00102509"/>
    <w:rsid w:val="00102EA8"/>
    <w:rsid w:val="00103BEC"/>
    <w:rsid w:val="00104B6B"/>
    <w:rsid w:val="00104D7D"/>
    <w:rsid w:val="0010590C"/>
    <w:rsid w:val="0010675F"/>
    <w:rsid w:val="00106C05"/>
    <w:rsid w:val="001076C5"/>
    <w:rsid w:val="00107FF7"/>
    <w:rsid w:val="0011053B"/>
    <w:rsid w:val="00110BA5"/>
    <w:rsid w:val="00111140"/>
    <w:rsid w:val="00111EC5"/>
    <w:rsid w:val="00112116"/>
    <w:rsid w:val="00112EF7"/>
    <w:rsid w:val="001133A7"/>
    <w:rsid w:val="001133A9"/>
    <w:rsid w:val="0011488E"/>
    <w:rsid w:val="00115ED0"/>
    <w:rsid w:val="00116A7B"/>
    <w:rsid w:val="00117628"/>
    <w:rsid w:val="00117C15"/>
    <w:rsid w:val="00117D4D"/>
    <w:rsid w:val="00117EDE"/>
    <w:rsid w:val="0012145E"/>
    <w:rsid w:val="001219E8"/>
    <w:rsid w:val="00122608"/>
    <w:rsid w:val="00122F4F"/>
    <w:rsid w:val="001231E2"/>
    <w:rsid w:val="00123371"/>
    <w:rsid w:val="00123B6D"/>
    <w:rsid w:val="001244CC"/>
    <w:rsid w:val="001249CC"/>
    <w:rsid w:val="0012500B"/>
    <w:rsid w:val="00125395"/>
    <w:rsid w:val="00125C47"/>
    <w:rsid w:val="00125DFE"/>
    <w:rsid w:val="0012701E"/>
    <w:rsid w:val="00127862"/>
    <w:rsid w:val="0013179A"/>
    <w:rsid w:val="001319E7"/>
    <w:rsid w:val="00131E7A"/>
    <w:rsid w:val="00133B27"/>
    <w:rsid w:val="00134E9D"/>
    <w:rsid w:val="00136FB6"/>
    <w:rsid w:val="001379FA"/>
    <w:rsid w:val="00140CEC"/>
    <w:rsid w:val="00143343"/>
    <w:rsid w:val="001434D4"/>
    <w:rsid w:val="001466C7"/>
    <w:rsid w:val="00146944"/>
    <w:rsid w:val="00146EDF"/>
    <w:rsid w:val="00150948"/>
    <w:rsid w:val="00151567"/>
    <w:rsid w:val="00151A03"/>
    <w:rsid w:val="001524D6"/>
    <w:rsid w:val="0015295D"/>
    <w:rsid w:val="00152BBC"/>
    <w:rsid w:val="00152C8D"/>
    <w:rsid w:val="0015502E"/>
    <w:rsid w:val="001556D2"/>
    <w:rsid w:val="001557AF"/>
    <w:rsid w:val="001575DE"/>
    <w:rsid w:val="00160B44"/>
    <w:rsid w:val="00160C91"/>
    <w:rsid w:val="00161B28"/>
    <w:rsid w:val="00162AC1"/>
    <w:rsid w:val="0016570D"/>
    <w:rsid w:val="0016676A"/>
    <w:rsid w:val="00166ADB"/>
    <w:rsid w:val="00167702"/>
    <w:rsid w:val="00167777"/>
    <w:rsid w:val="0017059B"/>
    <w:rsid w:val="001709E4"/>
    <w:rsid w:val="00170FD3"/>
    <w:rsid w:val="00170FDE"/>
    <w:rsid w:val="001713C1"/>
    <w:rsid w:val="00171751"/>
    <w:rsid w:val="00171FE2"/>
    <w:rsid w:val="00172A41"/>
    <w:rsid w:val="00172BF3"/>
    <w:rsid w:val="001730B2"/>
    <w:rsid w:val="00173F3E"/>
    <w:rsid w:val="0017521A"/>
    <w:rsid w:val="0017537A"/>
    <w:rsid w:val="00175D5F"/>
    <w:rsid w:val="00175EE7"/>
    <w:rsid w:val="00177D0E"/>
    <w:rsid w:val="001801E7"/>
    <w:rsid w:val="0018057C"/>
    <w:rsid w:val="00180A0D"/>
    <w:rsid w:val="00181913"/>
    <w:rsid w:val="001822CE"/>
    <w:rsid w:val="0018388E"/>
    <w:rsid w:val="00183B6C"/>
    <w:rsid w:val="00184EAC"/>
    <w:rsid w:val="001854C1"/>
    <w:rsid w:val="0018614E"/>
    <w:rsid w:val="001869E1"/>
    <w:rsid w:val="00186F4E"/>
    <w:rsid w:val="00187618"/>
    <w:rsid w:val="00187B76"/>
    <w:rsid w:val="001907A1"/>
    <w:rsid w:val="00190BC9"/>
    <w:rsid w:val="00191907"/>
    <w:rsid w:val="00192AE4"/>
    <w:rsid w:val="00192E82"/>
    <w:rsid w:val="00192E99"/>
    <w:rsid w:val="0019463F"/>
    <w:rsid w:val="00195A4F"/>
    <w:rsid w:val="00197116"/>
    <w:rsid w:val="00197884"/>
    <w:rsid w:val="001A017F"/>
    <w:rsid w:val="001A0553"/>
    <w:rsid w:val="001A0F53"/>
    <w:rsid w:val="001A101E"/>
    <w:rsid w:val="001A2CD1"/>
    <w:rsid w:val="001A315C"/>
    <w:rsid w:val="001A3431"/>
    <w:rsid w:val="001A3568"/>
    <w:rsid w:val="001A46AD"/>
    <w:rsid w:val="001A60EC"/>
    <w:rsid w:val="001A6C95"/>
    <w:rsid w:val="001A77C4"/>
    <w:rsid w:val="001B1982"/>
    <w:rsid w:val="001B22EB"/>
    <w:rsid w:val="001B241E"/>
    <w:rsid w:val="001B35BA"/>
    <w:rsid w:val="001B3D9E"/>
    <w:rsid w:val="001B4200"/>
    <w:rsid w:val="001B4496"/>
    <w:rsid w:val="001B506F"/>
    <w:rsid w:val="001B5CBD"/>
    <w:rsid w:val="001B7257"/>
    <w:rsid w:val="001B7E6E"/>
    <w:rsid w:val="001B7EC2"/>
    <w:rsid w:val="001C0F84"/>
    <w:rsid w:val="001C117B"/>
    <w:rsid w:val="001C11C8"/>
    <w:rsid w:val="001C1CEC"/>
    <w:rsid w:val="001C49DC"/>
    <w:rsid w:val="001C5D3D"/>
    <w:rsid w:val="001C64CA"/>
    <w:rsid w:val="001C6A83"/>
    <w:rsid w:val="001C7225"/>
    <w:rsid w:val="001C745C"/>
    <w:rsid w:val="001C7C40"/>
    <w:rsid w:val="001D082F"/>
    <w:rsid w:val="001D0A16"/>
    <w:rsid w:val="001D178F"/>
    <w:rsid w:val="001D27B5"/>
    <w:rsid w:val="001D40AB"/>
    <w:rsid w:val="001D47F6"/>
    <w:rsid w:val="001D53D7"/>
    <w:rsid w:val="001D5D55"/>
    <w:rsid w:val="001D6A64"/>
    <w:rsid w:val="001D7955"/>
    <w:rsid w:val="001E10DB"/>
    <w:rsid w:val="001E1522"/>
    <w:rsid w:val="001E176D"/>
    <w:rsid w:val="001E2401"/>
    <w:rsid w:val="001E2A02"/>
    <w:rsid w:val="001E2BC5"/>
    <w:rsid w:val="001E2C90"/>
    <w:rsid w:val="001E637B"/>
    <w:rsid w:val="001E760F"/>
    <w:rsid w:val="001E7B3C"/>
    <w:rsid w:val="001F0520"/>
    <w:rsid w:val="001F0A76"/>
    <w:rsid w:val="001F10CE"/>
    <w:rsid w:val="001F119F"/>
    <w:rsid w:val="001F1285"/>
    <w:rsid w:val="001F1768"/>
    <w:rsid w:val="001F1B73"/>
    <w:rsid w:val="001F2216"/>
    <w:rsid w:val="001F267C"/>
    <w:rsid w:val="001F31E3"/>
    <w:rsid w:val="001F3493"/>
    <w:rsid w:val="001F420D"/>
    <w:rsid w:val="001F4EAE"/>
    <w:rsid w:val="001F6ABC"/>
    <w:rsid w:val="001F6E32"/>
    <w:rsid w:val="00200CC6"/>
    <w:rsid w:val="00201F29"/>
    <w:rsid w:val="002029E3"/>
    <w:rsid w:val="00202F2B"/>
    <w:rsid w:val="00203A9B"/>
    <w:rsid w:val="00203D23"/>
    <w:rsid w:val="00205480"/>
    <w:rsid w:val="00211E0B"/>
    <w:rsid w:val="002121BA"/>
    <w:rsid w:val="00212454"/>
    <w:rsid w:val="002129E7"/>
    <w:rsid w:val="002131FC"/>
    <w:rsid w:val="00214CF8"/>
    <w:rsid w:val="00215094"/>
    <w:rsid w:val="002160FE"/>
    <w:rsid w:val="002166CB"/>
    <w:rsid w:val="0022035B"/>
    <w:rsid w:val="00220467"/>
    <w:rsid w:val="00220D57"/>
    <w:rsid w:val="002216D8"/>
    <w:rsid w:val="00222654"/>
    <w:rsid w:val="00222843"/>
    <w:rsid w:val="00223933"/>
    <w:rsid w:val="0022396B"/>
    <w:rsid w:val="00224060"/>
    <w:rsid w:val="00225F0E"/>
    <w:rsid w:val="00226DCE"/>
    <w:rsid w:val="002271EB"/>
    <w:rsid w:val="0022760B"/>
    <w:rsid w:val="002302C3"/>
    <w:rsid w:val="00230A20"/>
    <w:rsid w:val="00230A8B"/>
    <w:rsid w:val="00230BFF"/>
    <w:rsid w:val="002312FF"/>
    <w:rsid w:val="002315F8"/>
    <w:rsid w:val="0023181D"/>
    <w:rsid w:val="0023300B"/>
    <w:rsid w:val="00233BDD"/>
    <w:rsid w:val="00233C5D"/>
    <w:rsid w:val="00234285"/>
    <w:rsid w:val="00234E82"/>
    <w:rsid w:val="00234F7F"/>
    <w:rsid w:val="0023585A"/>
    <w:rsid w:val="00237067"/>
    <w:rsid w:val="00237B60"/>
    <w:rsid w:val="00237FA8"/>
    <w:rsid w:val="002400B3"/>
    <w:rsid w:val="0024014A"/>
    <w:rsid w:val="00242E4F"/>
    <w:rsid w:val="00243F25"/>
    <w:rsid w:val="00244202"/>
    <w:rsid w:val="002449B2"/>
    <w:rsid w:val="00245775"/>
    <w:rsid w:val="00247B80"/>
    <w:rsid w:val="002501F3"/>
    <w:rsid w:val="00251FB9"/>
    <w:rsid w:val="002528A2"/>
    <w:rsid w:val="00252BEF"/>
    <w:rsid w:val="00253493"/>
    <w:rsid w:val="00256D51"/>
    <w:rsid w:val="00261166"/>
    <w:rsid w:val="00261766"/>
    <w:rsid w:val="00261C0C"/>
    <w:rsid w:val="00261D75"/>
    <w:rsid w:val="00262D67"/>
    <w:rsid w:val="002630BC"/>
    <w:rsid w:val="00263345"/>
    <w:rsid w:val="002635FA"/>
    <w:rsid w:val="002637DB"/>
    <w:rsid w:val="002646E2"/>
    <w:rsid w:val="00266505"/>
    <w:rsid w:val="002676BA"/>
    <w:rsid w:val="00271012"/>
    <w:rsid w:val="002712F9"/>
    <w:rsid w:val="00272507"/>
    <w:rsid w:val="00273AB2"/>
    <w:rsid w:val="00274683"/>
    <w:rsid w:val="00274C76"/>
    <w:rsid w:val="002760FF"/>
    <w:rsid w:val="00276804"/>
    <w:rsid w:val="00277390"/>
    <w:rsid w:val="002773DE"/>
    <w:rsid w:val="002806EE"/>
    <w:rsid w:val="00280B10"/>
    <w:rsid w:val="00280FD9"/>
    <w:rsid w:val="002815CA"/>
    <w:rsid w:val="00281713"/>
    <w:rsid w:val="002819DF"/>
    <w:rsid w:val="002819EF"/>
    <w:rsid w:val="00282559"/>
    <w:rsid w:val="00284476"/>
    <w:rsid w:val="002848D1"/>
    <w:rsid w:val="002858D9"/>
    <w:rsid w:val="0028608D"/>
    <w:rsid w:val="00286147"/>
    <w:rsid w:val="002867A7"/>
    <w:rsid w:val="0028707B"/>
    <w:rsid w:val="00290D17"/>
    <w:rsid w:val="00291161"/>
    <w:rsid w:val="00292D72"/>
    <w:rsid w:val="00293D83"/>
    <w:rsid w:val="0029678F"/>
    <w:rsid w:val="00297DED"/>
    <w:rsid w:val="002A10B4"/>
    <w:rsid w:val="002A1B21"/>
    <w:rsid w:val="002A200E"/>
    <w:rsid w:val="002A2E20"/>
    <w:rsid w:val="002A2ECA"/>
    <w:rsid w:val="002A335C"/>
    <w:rsid w:val="002A4E50"/>
    <w:rsid w:val="002A4F95"/>
    <w:rsid w:val="002A5AA5"/>
    <w:rsid w:val="002A5B7B"/>
    <w:rsid w:val="002B0097"/>
    <w:rsid w:val="002B12ED"/>
    <w:rsid w:val="002B1385"/>
    <w:rsid w:val="002B2331"/>
    <w:rsid w:val="002B304D"/>
    <w:rsid w:val="002B31C8"/>
    <w:rsid w:val="002B4B22"/>
    <w:rsid w:val="002B5C21"/>
    <w:rsid w:val="002B60A4"/>
    <w:rsid w:val="002B6DBF"/>
    <w:rsid w:val="002C3E0F"/>
    <w:rsid w:val="002C47F4"/>
    <w:rsid w:val="002C4B5F"/>
    <w:rsid w:val="002C4EC3"/>
    <w:rsid w:val="002C52C2"/>
    <w:rsid w:val="002C5DE5"/>
    <w:rsid w:val="002C699B"/>
    <w:rsid w:val="002C7DAA"/>
    <w:rsid w:val="002D093F"/>
    <w:rsid w:val="002D1563"/>
    <w:rsid w:val="002D1DD6"/>
    <w:rsid w:val="002D28DB"/>
    <w:rsid w:val="002D33F2"/>
    <w:rsid w:val="002E05EF"/>
    <w:rsid w:val="002E20D2"/>
    <w:rsid w:val="002E47FA"/>
    <w:rsid w:val="002F0425"/>
    <w:rsid w:val="002F0787"/>
    <w:rsid w:val="002F111E"/>
    <w:rsid w:val="002F14AA"/>
    <w:rsid w:val="002F24CF"/>
    <w:rsid w:val="002F27A8"/>
    <w:rsid w:val="002F4447"/>
    <w:rsid w:val="002F4879"/>
    <w:rsid w:val="002F597E"/>
    <w:rsid w:val="002F5AD5"/>
    <w:rsid w:val="002F6A88"/>
    <w:rsid w:val="002F7020"/>
    <w:rsid w:val="003019DA"/>
    <w:rsid w:val="0030431B"/>
    <w:rsid w:val="00304556"/>
    <w:rsid w:val="003053DA"/>
    <w:rsid w:val="003066D1"/>
    <w:rsid w:val="0030683A"/>
    <w:rsid w:val="00306B2B"/>
    <w:rsid w:val="00306D23"/>
    <w:rsid w:val="00307F12"/>
    <w:rsid w:val="0031035D"/>
    <w:rsid w:val="003104A3"/>
    <w:rsid w:val="00310535"/>
    <w:rsid w:val="003105D5"/>
    <w:rsid w:val="00310825"/>
    <w:rsid w:val="003116BC"/>
    <w:rsid w:val="00312060"/>
    <w:rsid w:val="003138DF"/>
    <w:rsid w:val="003139F2"/>
    <w:rsid w:val="00313A10"/>
    <w:rsid w:val="00314269"/>
    <w:rsid w:val="00314293"/>
    <w:rsid w:val="00314D42"/>
    <w:rsid w:val="0031593C"/>
    <w:rsid w:val="00315EFE"/>
    <w:rsid w:val="003172E9"/>
    <w:rsid w:val="00317A81"/>
    <w:rsid w:val="003208B7"/>
    <w:rsid w:val="003208C3"/>
    <w:rsid w:val="00322F96"/>
    <w:rsid w:val="00323FAF"/>
    <w:rsid w:val="00324CDC"/>
    <w:rsid w:val="003276C1"/>
    <w:rsid w:val="00327C54"/>
    <w:rsid w:val="0033070E"/>
    <w:rsid w:val="003312B4"/>
    <w:rsid w:val="0033269B"/>
    <w:rsid w:val="00332E60"/>
    <w:rsid w:val="00333B3A"/>
    <w:rsid w:val="00334458"/>
    <w:rsid w:val="0033510B"/>
    <w:rsid w:val="00336C10"/>
    <w:rsid w:val="00337400"/>
    <w:rsid w:val="0034043D"/>
    <w:rsid w:val="00341C59"/>
    <w:rsid w:val="00342F52"/>
    <w:rsid w:val="0034314D"/>
    <w:rsid w:val="003443DB"/>
    <w:rsid w:val="003444F2"/>
    <w:rsid w:val="00344B81"/>
    <w:rsid w:val="00344EEA"/>
    <w:rsid w:val="00344F04"/>
    <w:rsid w:val="00345B68"/>
    <w:rsid w:val="003468BC"/>
    <w:rsid w:val="00346E02"/>
    <w:rsid w:val="00347BCC"/>
    <w:rsid w:val="003504A8"/>
    <w:rsid w:val="00350A61"/>
    <w:rsid w:val="003513CA"/>
    <w:rsid w:val="00351719"/>
    <w:rsid w:val="0035198D"/>
    <w:rsid w:val="00351ABB"/>
    <w:rsid w:val="00352AA2"/>
    <w:rsid w:val="00352E43"/>
    <w:rsid w:val="0035369B"/>
    <w:rsid w:val="00353B97"/>
    <w:rsid w:val="00353C75"/>
    <w:rsid w:val="00354CA2"/>
    <w:rsid w:val="00354E85"/>
    <w:rsid w:val="00354F1E"/>
    <w:rsid w:val="00355E11"/>
    <w:rsid w:val="0035639E"/>
    <w:rsid w:val="00356B19"/>
    <w:rsid w:val="00356B69"/>
    <w:rsid w:val="00356E65"/>
    <w:rsid w:val="00356F0A"/>
    <w:rsid w:val="00357A21"/>
    <w:rsid w:val="0036032A"/>
    <w:rsid w:val="003606ED"/>
    <w:rsid w:val="00360714"/>
    <w:rsid w:val="00360BCA"/>
    <w:rsid w:val="0036135F"/>
    <w:rsid w:val="00361C0A"/>
    <w:rsid w:val="0036294F"/>
    <w:rsid w:val="00364D3C"/>
    <w:rsid w:val="003652C9"/>
    <w:rsid w:val="00365CFB"/>
    <w:rsid w:val="003660E5"/>
    <w:rsid w:val="00366951"/>
    <w:rsid w:val="00371110"/>
    <w:rsid w:val="003721BA"/>
    <w:rsid w:val="00372456"/>
    <w:rsid w:val="003725A8"/>
    <w:rsid w:val="00372837"/>
    <w:rsid w:val="0037370C"/>
    <w:rsid w:val="00373F0D"/>
    <w:rsid w:val="00375171"/>
    <w:rsid w:val="003756E6"/>
    <w:rsid w:val="00375A62"/>
    <w:rsid w:val="0037657F"/>
    <w:rsid w:val="00376892"/>
    <w:rsid w:val="00377019"/>
    <w:rsid w:val="00380005"/>
    <w:rsid w:val="00383AA3"/>
    <w:rsid w:val="003848C9"/>
    <w:rsid w:val="003860F2"/>
    <w:rsid w:val="003865EE"/>
    <w:rsid w:val="00386818"/>
    <w:rsid w:val="0038690F"/>
    <w:rsid w:val="00386D82"/>
    <w:rsid w:val="00386DE9"/>
    <w:rsid w:val="0038772E"/>
    <w:rsid w:val="00390128"/>
    <w:rsid w:val="003902C9"/>
    <w:rsid w:val="00390AD9"/>
    <w:rsid w:val="00390F20"/>
    <w:rsid w:val="003912F4"/>
    <w:rsid w:val="00391844"/>
    <w:rsid w:val="00392248"/>
    <w:rsid w:val="003926F6"/>
    <w:rsid w:val="00392996"/>
    <w:rsid w:val="00392C30"/>
    <w:rsid w:val="00393B5C"/>
    <w:rsid w:val="00393BFF"/>
    <w:rsid w:val="00393DCC"/>
    <w:rsid w:val="00394178"/>
    <w:rsid w:val="003941E3"/>
    <w:rsid w:val="00394657"/>
    <w:rsid w:val="00397267"/>
    <w:rsid w:val="00397660"/>
    <w:rsid w:val="003A036B"/>
    <w:rsid w:val="003A13E5"/>
    <w:rsid w:val="003A18E0"/>
    <w:rsid w:val="003A2173"/>
    <w:rsid w:val="003A3D8D"/>
    <w:rsid w:val="003A4029"/>
    <w:rsid w:val="003A5ABD"/>
    <w:rsid w:val="003A67F0"/>
    <w:rsid w:val="003A6D36"/>
    <w:rsid w:val="003B08AA"/>
    <w:rsid w:val="003B2E15"/>
    <w:rsid w:val="003B336F"/>
    <w:rsid w:val="003B35A5"/>
    <w:rsid w:val="003B37E3"/>
    <w:rsid w:val="003B3C21"/>
    <w:rsid w:val="003B5D8A"/>
    <w:rsid w:val="003B6304"/>
    <w:rsid w:val="003B6F5A"/>
    <w:rsid w:val="003B7B51"/>
    <w:rsid w:val="003C02B0"/>
    <w:rsid w:val="003C0FDC"/>
    <w:rsid w:val="003C1477"/>
    <w:rsid w:val="003C2051"/>
    <w:rsid w:val="003C2551"/>
    <w:rsid w:val="003C4126"/>
    <w:rsid w:val="003C4CED"/>
    <w:rsid w:val="003C6228"/>
    <w:rsid w:val="003C62E7"/>
    <w:rsid w:val="003C6305"/>
    <w:rsid w:val="003C6A72"/>
    <w:rsid w:val="003C7076"/>
    <w:rsid w:val="003D04F4"/>
    <w:rsid w:val="003D116C"/>
    <w:rsid w:val="003D1ABF"/>
    <w:rsid w:val="003D3130"/>
    <w:rsid w:val="003D3289"/>
    <w:rsid w:val="003D36B9"/>
    <w:rsid w:val="003D39B1"/>
    <w:rsid w:val="003D3E4A"/>
    <w:rsid w:val="003D5908"/>
    <w:rsid w:val="003D5A01"/>
    <w:rsid w:val="003D6B8E"/>
    <w:rsid w:val="003E00B8"/>
    <w:rsid w:val="003E2B7E"/>
    <w:rsid w:val="003E3005"/>
    <w:rsid w:val="003E373C"/>
    <w:rsid w:val="003E3D80"/>
    <w:rsid w:val="003E4B90"/>
    <w:rsid w:val="003E552C"/>
    <w:rsid w:val="003E6F7D"/>
    <w:rsid w:val="003E702C"/>
    <w:rsid w:val="003E73E3"/>
    <w:rsid w:val="003F0E06"/>
    <w:rsid w:val="003F120A"/>
    <w:rsid w:val="003F18A2"/>
    <w:rsid w:val="003F4FF4"/>
    <w:rsid w:val="003F604F"/>
    <w:rsid w:val="003F6054"/>
    <w:rsid w:val="003F659C"/>
    <w:rsid w:val="003F690C"/>
    <w:rsid w:val="0040040F"/>
    <w:rsid w:val="00400A1D"/>
    <w:rsid w:val="0040140B"/>
    <w:rsid w:val="0040275B"/>
    <w:rsid w:val="00402A5B"/>
    <w:rsid w:val="00403A27"/>
    <w:rsid w:val="00404880"/>
    <w:rsid w:val="00404B21"/>
    <w:rsid w:val="00405D6F"/>
    <w:rsid w:val="0040752D"/>
    <w:rsid w:val="00407552"/>
    <w:rsid w:val="004076B8"/>
    <w:rsid w:val="00410096"/>
    <w:rsid w:val="0041050E"/>
    <w:rsid w:val="00411AF3"/>
    <w:rsid w:val="00411FEF"/>
    <w:rsid w:val="00414025"/>
    <w:rsid w:val="004167C4"/>
    <w:rsid w:val="004208A3"/>
    <w:rsid w:val="00420D0D"/>
    <w:rsid w:val="00420D6F"/>
    <w:rsid w:val="00420ED6"/>
    <w:rsid w:val="00421941"/>
    <w:rsid w:val="00421AE7"/>
    <w:rsid w:val="0042324F"/>
    <w:rsid w:val="00423291"/>
    <w:rsid w:val="004251A5"/>
    <w:rsid w:val="00425BAF"/>
    <w:rsid w:val="00426275"/>
    <w:rsid w:val="00426FB8"/>
    <w:rsid w:val="00427819"/>
    <w:rsid w:val="00430870"/>
    <w:rsid w:val="004311D5"/>
    <w:rsid w:val="0043271B"/>
    <w:rsid w:val="004328AC"/>
    <w:rsid w:val="00432D23"/>
    <w:rsid w:val="00432EF6"/>
    <w:rsid w:val="00433375"/>
    <w:rsid w:val="004335AF"/>
    <w:rsid w:val="00434BE7"/>
    <w:rsid w:val="00435460"/>
    <w:rsid w:val="00436FA1"/>
    <w:rsid w:val="004375B5"/>
    <w:rsid w:val="004375BD"/>
    <w:rsid w:val="00437A97"/>
    <w:rsid w:val="00440326"/>
    <w:rsid w:val="0044061C"/>
    <w:rsid w:val="00441859"/>
    <w:rsid w:val="00442BCD"/>
    <w:rsid w:val="004438FE"/>
    <w:rsid w:val="00443987"/>
    <w:rsid w:val="00444A63"/>
    <w:rsid w:val="00444B3E"/>
    <w:rsid w:val="00444DF7"/>
    <w:rsid w:val="00444E10"/>
    <w:rsid w:val="004457EB"/>
    <w:rsid w:val="00445B21"/>
    <w:rsid w:val="00446763"/>
    <w:rsid w:val="00446B67"/>
    <w:rsid w:val="004474CC"/>
    <w:rsid w:val="004478D4"/>
    <w:rsid w:val="00450718"/>
    <w:rsid w:val="004507F6"/>
    <w:rsid w:val="004512C2"/>
    <w:rsid w:val="00452FFC"/>
    <w:rsid w:val="004531D4"/>
    <w:rsid w:val="00453410"/>
    <w:rsid w:val="00453539"/>
    <w:rsid w:val="0045382F"/>
    <w:rsid w:val="004538C3"/>
    <w:rsid w:val="0045397A"/>
    <w:rsid w:val="00454571"/>
    <w:rsid w:val="0045470D"/>
    <w:rsid w:val="004549D5"/>
    <w:rsid w:val="004550AE"/>
    <w:rsid w:val="004562CC"/>
    <w:rsid w:val="0045630D"/>
    <w:rsid w:val="00456820"/>
    <w:rsid w:val="0045714F"/>
    <w:rsid w:val="004573AF"/>
    <w:rsid w:val="0046219B"/>
    <w:rsid w:val="0046383B"/>
    <w:rsid w:val="00463896"/>
    <w:rsid w:val="00463B68"/>
    <w:rsid w:val="0046490C"/>
    <w:rsid w:val="00465C40"/>
    <w:rsid w:val="004664A3"/>
    <w:rsid w:val="0046693B"/>
    <w:rsid w:val="00466E17"/>
    <w:rsid w:val="0047122F"/>
    <w:rsid w:val="00471353"/>
    <w:rsid w:val="0047241E"/>
    <w:rsid w:val="0047273E"/>
    <w:rsid w:val="00472E80"/>
    <w:rsid w:val="00473A23"/>
    <w:rsid w:val="00473E64"/>
    <w:rsid w:val="00474672"/>
    <w:rsid w:val="00476EA4"/>
    <w:rsid w:val="004778DB"/>
    <w:rsid w:val="00477D41"/>
    <w:rsid w:val="00477DFB"/>
    <w:rsid w:val="00480150"/>
    <w:rsid w:val="0048058D"/>
    <w:rsid w:val="00480981"/>
    <w:rsid w:val="00480D34"/>
    <w:rsid w:val="00482821"/>
    <w:rsid w:val="00483CBC"/>
    <w:rsid w:val="00483D89"/>
    <w:rsid w:val="00484540"/>
    <w:rsid w:val="00484C89"/>
    <w:rsid w:val="00485760"/>
    <w:rsid w:val="00485DAB"/>
    <w:rsid w:val="00486026"/>
    <w:rsid w:val="00486A74"/>
    <w:rsid w:val="004872CF"/>
    <w:rsid w:val="00487627"/>
    <w:rsid w:val="0048764D"/>
    <w:rsid w:val="00492D6E"/>
    <w:rsid w:val="004955D4"/>
    <w:rsid w:val="00495968"/>
    <w:rsid w:val="00495EB5"/>
    <w:rsid w:val="00495FEE"/>
    <w:rsid w:val="00496754"/>
    <w:rsid w:val="004A0615"/>
    <w:rsid w:val="004A0ADB"/>
    <w:rsid w:val="004A0E04"/>
    <w:rsid w:val="004A181D"/>
    <w:rsid w:val="004A193C"/>
    <w:rsid w:val="004A196F"/>
    <w:rsid w:val="004A3BA8"/>
    <w:rsid w:val="004A409A"/>
    <w:rsid w:val="004A56A1"/>
    <w:rsid w:val="004A56E7"/>
    <w:rsid w:val="004A6BDF"/>
    <w:rsid w:val="004A7598"/>
    <w:rsid w:val="004A7CB3"/>
    <w:rsid w:val="004B0FD7"/>
    <w:rsid w:val="004B1B4F"/>
    <w:rsid w:val="004B2C50"/>
    <w:rsid w:val="004B4A98"/>
    <w:rsid w:val="004B7943"/>
    <w:rsid w:val="004B7CAA"/>
    <w:rsid w:val="004C019E"/>
    <w:rsid w:val="004C0672"/>
    <w:rsid w:val="004C0CFD"/>
    <w:rsid w:val="004C2B5D"/>
    <w:rsid w:val="004C389E"/>
    <w:rsid w:val="004C408F"/>
    <w:rsid w:val="004C62B5"/>
    <w:rsid w:val="004C6932"/>
    <w:rsid w:val="004C79B3"/>
    <w:rsid w:val="004C7B8C"/>
    <w:rsid w:val="004D1226"/>
    <w:rsid w:val="004D2103"/>
    <w:rsid w:val="004D403A"/>
    <w:rsid w:val="004D527A"/>
    <w:rsid w:val="004D5B49"/>
    <w:rsid w:val="004D77E0"/>
    <w:rsid w:val="004D798A"/>
    <w:rsid w:val="004D7A38"/>
    <w:rsid w:val="004D7EF1"/>
    <w:rsid w:val="004E0F2D"/>
    <w:rsid w:val="004E1DC3"/>
    <w:rsid w:val="004E2694"/>
    <w:rsid w:val="004E386D"/>
    <w:rsid w:val="004E5EC2"/>
    <w:rsid w:val="004E625E"/>
    <w:rsid w:val="004E6DFD"/>
    <w:rsid w:val="004F0CB6"/>
    <w:rsid w:val="004F0E64"/>
    <w:rsid w:val="004F24E3"/>
    <w:rsid w:val="004F2A8F"/>
    <w:rsid w:val="004F3236"/>
    <w:rsid w:val="004F394B"/>
    <w:rsid w:val="004F3CC9"/>
    <w:rsid w:val="004F4E2E"/>
    <w:rsid w:val="004F52E6"/>
    <w:rsid w:val="004F5AA0"/>
    <w:rsid w:val="004F5E9C"/>
    <w:rsid w:val="004F68C7"/>
    <w:rsid w:val="004F6B56"/>
    <w:rsid w:val="004F70F0"/>
    <w:rsid w:val="004F72E9"/>
    <w:rsid w:val="005004D8"/>
    <w:rsid w:val="00500DEC"/>
    <w:rsid w:val="0050171D"/>
    <w:rsid w:val="00501A39"/>
    <w:rsid w:val="00501AC9"/>
    <w:rsid w:val="00502B64"/>
    <w:rsid w:val="00502EB5"/>
    <w:rsid w:val="00502F37"/>
    <w:rsid w:val="005031BD"/>
    <w:rsid w:val="0050332C"/>
    <w:rsid w:val="00503761"/>
    <w:rsid w:val="00504242"/>
    <w:rsid w:val="00504DA8"/>
    <w:rsid w:val="005056C1"/>
    <w:rsid w:val="00505C59"/>
    <w:rsid w:val="005060AB"/>
    <w:rsid w:val="005060C5"/>
    <w:rsid w:val="005072CD"/>
    <w:rsid w:val="005074EE"/>
    <w:rsid w:val="0050785D"/>
    <w:rsid w:val="00507C5F"/>
    <w:rsid w:val="0051035D"/>
    <w:rsid w:val="005104AD"/>
    <w:rsid w:val="005120B0"/>
    <w:rsid w:val="00512A8A"/>
    <w:rsid w:val="00512AB9"/>
    <w:rsid w:val="005131E8"/>
    <w:rsid w:val="005132B4"/>
    <w:rsid w:val="0051433F"/>
    <w:rsid w:val="005156BA"/>
    <w:rsid w:val="00515933"/>
    <w:rsid w:val="00520B06"/>
    <w:rsid w:val="00521A42"/>
    <w:rsid w:val="00522634"/>
    <w:rsid w:val="00522B77"/>
    <w:rsid w:val="00522C27"/>
    <w:rsid w:val="00523B9C"/>
    <w:rsid w:val="005246C9"/>
    <w:rsid w:val="00524B5E"/>
    <w:rsid w:val="00524FB6"/>
    <w:rsid w:val="005260C2"/>
    <w:rsid w:val="0052698A"/>
    <w:rsid w:val="00527CD5"/>
    <w:rsid w:val="00527FEA"/>
    <w:rsid w:val="00530D4A"/>
    <w:rsid w:val="005337A9"/>
    <w:rsid w:val="00533A28"/>
    <w:rsid w:val="0053483A"/>
    <w:rsid w:val="00534A53"/>
    <w:rsid w:val="00534D84"/>
    <w:rsid w:val="00535638"/>
    <w:rsid w:val="005362D2"/>
    <w:rsid w:val="00536CE3"/>
    <w:rsid w:val="00536F41"/>
    <w:rsid w:val="0053756B"/>
    <w:rsid w:val="00537FB5"/>
    <w:rsid w:val="0054165E"/>
    <w:rsid w:val="00541D39"/>
    <w:rsid w:val="00542F6D"/>
    <w:rsid w:val="00543492"/>
    <w:rsid w:val="00543C98"/>
    <w:rsid w:val="00543D59"/>
    <w:rsid w:val="00544A41"/>
    <w:rsid w:val="00544DF0"/>
    <w:rsid w:val="005451C5"/>
    <w:rsid w:val="00545D8E"/>
    <w:rsid w:val="005471E4"/>
    <w:rsid w:val="00547B63"/>
    <w:rsid w:val="0055019B"/>
    <w:rsid w:val="00551C49"/>
    <w:rsid w:val="00551D3F"/>
    <w:rsid w:val="00551ECA"/>
    <w:rsid w:val="00552524"/>
    <w:rsid w:val="00552A80"/>
    <w:rsid w:val="00552B0B"/>
    <w:rsid w:val="00552C4D"/>
    <w:rsid w:val="00555827"/>
    <w:rsid w:val="00556A4C"/>
    <w:rsid w:val="00557A69"/>
    <w:rsid w:val="00560596"/>
    <w:rsid w:val="00560EFE"/>
    <w:rsid w:val="00561DD5"/>
    <w:rsid w:val="00562168"/>
    <w:rsid w:val="00562323"/>
    <w:rsid w:val="0056251B"/>
    <w:rsid w:val="00562D2E"/>
    <w:rsid w:val="0056391B"/>
    <w:rsid w:val="00565184"/>
    <w:rsid w:val="00566C76"/>
    <w:rsid w:val="0056730B"/>
    <w:rsid w:val="0057023A"/>
    <w:rsid w:val="00570DF8"/>
    <w:rsid w:val="00570FB6"/>
    <w:rsid w:val="00571A12"/>
    <w:rsid w:val="005723FE"/>
    <w:rsid w:val="005726BB"/>
    <w:rsid w:val="00573E52"/>
    <w:rsid w:val="00575EB0"/>
    <w:rsid w:val="00580DDB"/>
    <w:rsid w:val="005818B3"/>
    <w:rsid w:val="00581C0A"/>
    <w:rsid w:val="0058248B"/>
    <w:rsid w:val="005832C0"/>
    <w:rsid w:val="005837DE"/>
    <w:rsid w:val="00584467"/>
    <w:rsid w:val="0058470F"/>
    <w:rsid w:val="0058648B"/>
    <w:rsid w:val="005868A0"/>
    <w:rsid w:val="005871BB"/>
    <w:rsid w:val="00587DF5"/>
    <w:rsid w:val="00590B2E"/>
    <w:rsid w:val="00590CB2"/>
    <w:rsid w:val="005916C5"/>
    <w:rsid w:val="00591938"/>
    <w:rsid w:val="00591CD3"/>
    <w:rsid w:val="00591CEE"/>
    <w:rsid w:val="00593CB0"/>
    <w:rsid w:val="00593F8D"/>
    <w:rsid w:val="005944C7"/>
    <w:rsid w:val="00595894"/>
    <w:rsid w:val="00595C2E"/>
    <w:rsid w:val="005964AC"/>
    <w:rsid w:val="00597D79"/>
    <w:rsid w:val="005A0D07"/>
    <w:rsid w:val="005A142A"/>
    <w:rsid w:val="005A1DCB"/>
    <w:rsid w:val="005A2998"/>
    <w:rsid w:val="005A2A21"/>
    <w:rsid w:val="005A385B"/>
    <w:rsid w:val="005A398A"/>
    <w:rsid w:val="005A39A3"/>
    <w:rsid w:val="005A3D94"/>
    <w:rsid w:val="005A4250"/>
    <w:rsid w:val="005A44B3"/>
    <w:rsid w:val="005A5471"/>
    <w:rsid w:val="005A554F"/>
    <w:rsid w:val="005A5C1D"/>
    <w:rsid w:val="005A62A9"/>
    <w:rsid w:val="005A62BB"/>
    <w:rsid w:val="005A6F48"/>
    <w:rsid w:val="005B04B6"/>
    <w:rsid w:val="005B12E4"/>
    <w:rsid w:val="005B19CA"/>
    <w:rsid w:val="005B2FC6"/>
    <w:rsid w:val="005B3DAF"/>
    <w:rsid w:val="005B453B"/>
    <w:rsid w:val="005B53D8"/>
    <w:rsid w:val="005B54D4"/>
    <w:rsid w:val="005B625E"/>
    <w:rsid w:val="005B62B3"/>
    <w:rsid w:val="005B7B7E"/>
    <w:rsid w:val="005C0F57"/>
    <w:rsid w:val="005C1A45"/>
    <w:rsid w:val="005C1AD9"/>
    <w:rsid w:val="005C1F43"/>
    <w:rsid w:val="005C3EBB"/>
    <w:rsid w:val="005C3F1C"/>
    <w:rsid w:val="005C4E23"/>
    <w:rsid w:val="005C5141"/>
    <w:rsid w:val="005C54FA"/>
    <w:rsid w:val="005C626F"/>
    <w:rsid w:val="005C6273"/>
    <w:rsid w:val="005D035D"/>
    <w:rsid w:val="005D072D"/>
    <w:rsid w:val="005D078B"/>
    <w:rsid w:val="005D0FDB"/>
    <w:rsid w:val="005D1E7F"/>
    <w:rsid w:val="005D2117"/>
    <w:rsid w:val="005D215E"/>
    <w:rsid w:val="005D3BBD"/>
    <w:rsid w:val="005D56B3"/>
    <w:rsid w:val="005D59C8"/>
    <w:rsid w:val="005D6D42"/>
    <w:rsid w:val="005D7A3D"/>
    <w:rsid w:val="005D7F89"/>
    <w:rsid w:val="005E069A"/>
    <w:rsid w:val="005E0E2C"/>
    <w:rsid w:val="005E123C"/>
    <w:rsid w:val="005E20CB"/>
    <w:rsid w:val="005E3537"/>
    <w:rsid w:val="005E523E"/>
    <w:rsid w:val="005E591F"/>
    <w:rsid w:val="005E5A9C"/>
    <w:rsid w:val="005E5B52"/>
    <w:rsid w:val="005F1019"/>
    <w:rsid w:val="005F14D1"/>
    <w:rsid w:val="005F150F"/>
    <w:rsid w:val="005F2009"/>
    <w:rsid w:val="005F3B06"/>
    <w:rsid w:val="005F4644"/>
    <w:rsid w:val="005F4B07"/>
    <w:rsid w:val="005F4C3E"/>
    <w:rsid w:val="005F5C44"/>
    <w:rsid w:val="005F7229"/>
    <w:rsid w:val="005F739E"/>
    <w:rsid w:val="005F7474"/>
    <w:rsid w:val="005F7842"/>
    <w:rsid w:val="0060075D"/>
    <w:rsid w:val="00601267"/>
    <w:rsid w:val="006012F6"/>
    <w:rsid w:val="0060176D"/>
    <w:rsid w:val="00603445"/>
    <w:rsid w:val="0060345F"/>
    <w:rsid w:val="006042F8"/>
    <w:rsid w:val="00604E5E"/>
    <w:rsid w:val="00605260"/>
    <w:rsid w:val="00605B19"/>
    <w:rsid w:val="006064BD"/>
    <w:rsid w:val="0060714D"/>
    <w:rsid w:val="00607D1C"/>
    <w:rsid w:val="006108AE"/>
    <w:rsid w:val="00610CCD"/>
    <w:rsid w:val="00611964"/>
    <w:rsid w:val="00611E83"/>
    <w:rsid w:val="006129F3"/>
    <w:rsid w:val="00612EE0"/>
    <w:rsid w:val="00613542"/>
    <w:rsid w:val="006143D3"/>
    <w:rsid w:val="00614EF4"/>
    <w:rsid w:val="00615065"/>
    <w:rsid w:val="00616D5E"/>
    <w:rsid w:val="006207B6"/>
    <w:rsid w:val="00621BAA"/>
    <w:rsid w:val="00622817"/>
    <w:rsid w:val="006229F9"/>
    <w:rsid w:val="00622A8D"/>
    <w:rsid w:val="00622AC7"/>
    <w:rsid w:val="00626DBA"/>
    <w:rsid w:val="00630257"/>
    <w:rsid w:val="0063050C"/>
    <w:rsid w:val="006307BC"/>
    <w:rsid w:val="0063279A"/>
    <w:rsid w:val="006355AF"/>
    <w:rsid w:val="0063587E"/>
    <w:rsid w:val="006368A7"/>
    <w:rsid w:val="00636D82"/>
    <w:rsid w:val="00636E01"/>
    <w:rsid w:val="006400AD"/>
    <w:rsid w:val="00641C18"/>
    <w:rsid w:val="0064271A"/>
    <w:rsid w:val="00642C6B"/>
    <w:rsid w:val="006438C2"/>
    <w:rsid w:val="00643916"/>
    <w:rsid w:val="00643DFF"/>
    <w:rsid w:val="0064402A"/>
    <w:rsid w:val="00644727"/>
    <w:rsid w:val="00645016"/>
    <w:rsid w:val="00645489"/>
    <w:rsid w:val="006500B2"/>
    <w:rsid w:val="00651237"/>
    <w:rsid w:val="00651739"/>
    <w:rsid w:val="00651783"/>
    <w:rsid w:val="006535BE"/>
    <w:rsid w:val="00653DAF"/>
    <w:rsid w:val="00653EAF"/>
    <w:rsid w:val="0065422B"/>
    <w:rsid w:val="006543AA"/>
    <w:rsid w:val="0065683E"/>
    <w:rsid w:val="00657825"/>
    <w:rsid w:val="006606CD"/>
    <w:rsid w:val="0066089C"/>
    <w:rsid w:val="006614C9"/>
    <w:rsid w:val="00661500"/>
    <w:rsid w:val="00661C2F"/>
    <w:rsid w:val="006630FF"/>
    <w:rsid w:val="0066485E"/>
    <w:rsid w:val="00664EE7"/>
    <w:rsid w:val="00667FE0"/>
    <w:rsid w:val="006717FD"/>
    <w:rsid w:val="00671A24"/>
    <w:rsid w:val="00671E00"/>
    <w:rsid w:val="00671EAD"/>
    <w:rsid w:val="006769F3"/>
    <w:rsid w:val="00676B03"/>
    <w:rsid w:val="00677600"/>
    <w:rsid w:val="0068134F"/>
    <w:rsid w:val="0068186C"/>
    <w:rsid w:val="0068197B"/>
    <w:rsid w:val="00682027"/>
    <w:rsid w:val="006825A7"/>
    <w:rsid w:val="0068293F"/>
    <w:rsid w:val="00684289"/>
    <w:rsid w:val="006845F0"/>
    <w:rsid w:val="0068538E"/>
    <w:rsid w:val="00685537"/>
    <w:rsid w:val="00685D9F"/>
    <w:rsid w:val="00687C06"/>
    <w:rsid w:val="00691175"/>
    <w:rsid w:val="00692F9C"/>
    <w:rsid w:val="006938FF"/>
    <w:rsid w:val="00693DD9"/>
    <w:rsid w:val="00694452"/>
    <w:rsid w:val="00694743"/>
    <w:rsid w:val="00695AFB"/>
    <w:rsid w:val="006961D2"/>
    <w:rsid w:val="006978E3"/>
    <w:rsid w:val="006A254F"/>
    <w:rsid w:val="006A341E"/>
    <w:rsid w:val="006A4494"/>
    <w:rsid w:val="006A58EE"/>
    <w:rsid w:val="006A5D0D"/>
    <w:rsid w:val="006A6C13"/>
    <w:rsid w:val="006A7778"/>
    <w:rsid w:val="006A7809"/>
    <w:rsid w:val="006B1593"/>
    <w:rsid w:val="006B1909"/>
    <w:rsid w:val="006B24BE"/>
    <w:rsid w:val="006B250A"/>
    <w:rsid w:val="006B2A56"/>
    <w:rsid w:val="006B32F8"/>
    <w:rsid w:val="006B43C6"/>
    <w:rsid w:val="006B4A24"/>
    <w:rsid w:val="006B4A36"/>
    <w:rsid w:val="006B572A"/>
    <w:rsid w:val="006B67C1"/>
    <w:rsid w:val="006B6E3C"/>
    <w:rsid w:val="006C223A"/>
    <w:rsid w:val="006C48FE"/>
    <w:rsid w:val="006C4BE2"/>
    <w:rsid w:val="006C55DA"/>
    <w:rsid w:val="006C6098"/>
    <w:rsid w:val="006C6C52"/>
    <w:rsid w:val="006C6F38"/>
    <w:rsid w:val="006C71C2"/>
    <w:rsid w:val="006D1B57"/>
    <w:rsid w:val="006D1F7D"/>
    <w:rsid w:val="006D3198"/>
    <w:rsid w:val="006D4B6B"/>
    <w:rsid w:val="006D64F8"/>
    <w:rsid w:val="006D7A35"/>
    <w:rsid w:val="006E0F40"/>
    <w:rsid w:val="006E22D1"/>
    <w:rsid w:val="006E2A5A"/>
    <w:rsid w:val="006E31B1"/>
    <w:rsid w:val="006E3EFE"/>
    <w:rsid w:val="006E403C"/>
    <w:rsid w:val="006E5564"/>
    <w:rsid w:val="006E606D"/>
    <w:rsid w:val="006E79A8"/>
    <w:rsid w:val="006E7A11"/>
    <w:rsid w:val="006E7F91"/>
    <w:rsid w:val="006F04B4"/>
    <w:rsid w:val="006F0A3D"/>
    <w:rsid w:val="006F1C93"/>
    <w:rsid w:val="006F1D45"/>
    <w:rsid w:val="006F1E50"/>
    <w:rsid w:val="006F2C3D"/>
    <w:rsid w:val="006F4F88"/>
    <w:rsid w:val="006F5101"/>
    <w:rsid w:val="006F5B25"/>
    <w:rsid w:val="006F66EC"/>
    <w:rsid w:val="006F6C1E"/>
    <w:rsid w:val="006F6EC5"/>
    <w:rsid w:val="006F765F"/>
    <w:rsid w:val="006F7C80"/>
    <w:rsid w:val="0070019F"/>
    <w:rsid w:val="0070084E"/>
    <w:rsid w:val="007009FE"/>
    <w:rsid w:val="007020FC"/>
    <w:rsid w:val="00703790"/>
    <w:rsid w:val="00704A39"/>
    <w:rsid w:val="0070510B"/>
    <w:rsid w:val="00706A3C"/>
    <w:rsid w:val="007104ED"/>
    <w:rsid w:val="00710B82"/>
    <w:rsid w:val="007121D2"/>
    <w:rsid w:val="0071240C"/>
    <w:rsid w:val="0071244B"/>
    <w:rsid w:val="0071258D"/>
    <w:rsid w:val="00714603"/>
    <w:rsid w:val="007155C1"/>
    <w:rsid w:val="00715BC3"/>
    <w:rsid w:val="00715D9E"/>
    <w:rsid w:val="00715E15"/>
    <w:rsid w:val="00716296"/>
    <w:rsid w:val="00717321"/>
    <w:rsid w:val="00717625"/>
    <w:rsid w:val="007177BC"/>
    <w:rsid w:val="0072048B"/>
    <w:rsid w:val="007207F2"/>
    <w:rsid w:val="007224FA"/>
    <w:rsid w:val="00722C6D"/>
    <w:rsid w:val="00722F2E"/>
    <w:rsid w:val="0072448F"/>
    <w:rsid w:val="0072499D"/>
    <w:rsid w:val="007253E4"/>
    <w:rsid w:val="00726071"/>
    <w:rsid w:val="00726144"/>
    <w:rsid w:val="00726A83"/>
    <w:rsid w:val="00726FE5"/>
    <w:rsid w:val="007270C4"/>
    <w:rsid w:val="007271D6"/>
    <w:rsid w:val="00730074"/>
    <w:rsid w:val="007301B9"/>
    <w:rsid w:val="00730619"/>
    <w:rsid w:val="00730E6A"/>
    <w:rsid w:val="00731D93"/>
    <w:rsid w:val="00732711"/>
    <w:rsid w:val="00734041"/>
    <w:rsid w:val="00734844"/>
    <w:rsid w:val="00734D0C"/>
    <w:rsid w:val="007350B3"/>
    <w:rsid w:val="007356E6"/>
    <w:rsid w:val="00735ED0"/>
    <w:rsid w:val="00736591"/>
    <w:rsid w:val="00736A3E"/>
    <w:rsid w:val="007370AD"/>
    <w:rsid w:val="007376C8"/>
    <w:rsid w:val="00740A97"/>
    <w:rsid w:val="00740F1C"/>
    <w:rsid w:val="00741469"/>
    <w:rsid w:val="00741D96"/>
    <w:rsid w:val="00742462"/>
    <w:rsid w:val="007431A4"/>
    <w:rsid w:val="0074454A"/>
    <w:rsid w:val="00744654"/>
    <w:rsid w:val="00744AD7"/>
    <w:rsid w:val="00744F6D"/>
    <w:rsid w:val="00747F22"/>
    <w:rsid w:val="0075166E"/>
    <w:rsid w:val="007525DA"/>
    <w:rsid w:val="00752A92"/>
    <w:rsid w:val="00752DDE"/>
    <w:rsid w:val="00753310"/>
    <w:rsid w:val="00753F81"/>
    <w:rsid w:val="007542AA"/>
    <w:rsid w:val="00756BCA"/>
    <w:rsid w:val="007578EC"/>
    <w:rsid w:val="00760BA0"/>
    <w:rsid w:val="00761697"/>
    <w:rsid w:val="00761782"/>
    <w:rsid w:val="00761979"/>
    <w:rsid w:val="00761B1E"/>
    <w:rsid w:val="00763608"/>
    <w:rsid w:val="00764E1F"/>
    <w:rsid w:val="00765436"/>
    <w:rsid w:val="00765F7F"/>
    <w:rsid w:val="00766D4B"/>
    <w:rsid w:val="00770D3E"/>
    <w:rsid w:val="00772106"/>
    <w:rsid w:val="007723E9"/>
    <w:rsid w:val="0077279E"/>
    <w:rsid w:val="00772F87"/>
    <w:rsid w:val="00772FD7"/>
    <w:rsid w:val="007754AA"/>
    <w:rsid w:val="00775C8B"/>
    <w:rsid w:val="007802E8"/>
    <w:rsid w:val="00780A59"/>
    <w:rsid w:val="00780D5C"/>
    <w:rsid w:val="007816E2"/>
    <w:rsid w:val="00781973"/>
    <w:rsid w:val="00781CF4"/>
    <w:rsid w:val="007828EC"/>
    <w:rsid w:val="007830EE"/>
    <w:rsid w:val="00786486"/>
    <w:rsid w:val="00787154"/>
    <w:rsid w:val="00787F0B"/>
    <w:rsid w:val="007903AA"/>
    <w:rsid w:val="00793128"/>
    <w:rsid w:val="00793517"/>
    <w:rsid w:val="00793B84"/>
    <w:rsid w:val="007953BA"/>
    <w:rsid w:val="007956C7"/>
    <w:rsid w:val="0079692A"/>
    <w:rsid w:val="0079725E"/>
    <w:rsid w:val="0079798E"/>
    <w:rsid w:val="00797A69"/>
    <w:rsid w:val="007A1CA0"/>
    <w:rsid w:val="007A2B19"/>
    <w:rsid w:val="007A2EA1"/>
    <w:rsid w:val="007A4D33"/>
    <w:rsid w:val="007A4DE0"/>
    <w:rsid w:val="007A68A8"/>
    <w:rsid w:val="007A6AB3"/>
    <w:rsid w:val="007A6EB0"/>
    <w:rsid w:val="007A6FA2"/>
    <w:rsid w:val="007A79F1"/>
    <w:rsid w:val="007B0151"/>
    <w:rsid w:val="007B1F15"/>
    <w:rsid w:val="007B2123"/>
    <w:rsid w:val="007B24AA"/>
    <w:rsid w:val="007B2A64"/>
    <w:rsid w:val="007B2D62"/>
    <w:rsid w:val="007B35BB"/>
    <w:rsid w:val="007B45AE"/>
    <w:rsid w:val="007B4862"/>
    <w:rsid w:val="007B48EA"/>
    <w:rsid w:val="007B5408"/>
    <w:rsid w:val="007B6413"/>
    <w:rsid w:val="007B69EA"/>
    <w:rsid w:val="007B7EF7"/>
    <w:rsid w:val="007C0EE5"/>
    <w:rsid w:val="007C1B4F"/>
    <w:rsid w:val="007C1DF4"/>
    <w:rsid w:val="007C1E6C"/>
    <w:rsid w:val="007C22D4"/>
    <w:rsid w:val="007C2900"/>
    <w:rsid w:val="007C2D66"/>
    <w:rsid w:val="007C3B13"/>
    <w:rsid w:val="007C401F"/>
    <w:rsid w:val="007C4AD7"/>
    <w:rsid w:val="007C5523"/>
    <w:rsid w:val="007C5ECB"/>
    <w:rsid w:val="007C6CEB"/>
    <w:rsid w:val="007C7920"/>
    <w:rsid w:val="007D0C53"/>
    <w:rsid w:val="007D2DFD"/>
    <w:rsid w:val="007D37D8"/>
    <w:rsid w:val="007D4A2B"/>
    <w:rsid w:val="007D6939"/>
    <w:rsid w:val="007D6961"/>
    <w:rsid w:val="007D78AD"/>
    <w:rsid w:val="007D7B38"/>
    <w:rsid w:val="007E032E"/>
    <w:rsid w:val="007E4327"/>
    <w:rsid w:val="007E5A61"/>
    <w:rsid w:val="007F1BAC"/>
    <w:rsid w:val="007F24BB"/>
    <w:rsid w:val="007F2518"/>
    <w:rsid w:val="007F2EA4"/>
    <w:rsid w:val="007F4573"/>
    <w:rsid w:val="007F4F58"/>
    <w:rsid w:val="007F5C50"/>
    <w:rsid w:val="007F7411"/>
    <w:rsid w:val="007F76BE"/>
    <w:rsid w:val="00800506"/>
    <w:rsid w:val="00800AC8"/>
    <w:rsid w:val="00800FBE"/>
    <w:rsid w:val="0080390B"/>
    <w:rsid w:val="00803ACF"/>
    <w:rsid w:val="008046BA"/>
    <w:rsid w:val="0080594D"/>
    <w:rsid w:val="00806344"/>
    <w:rsid w:val="0080639E"/>
    <w:rsid w:val="00806632"/>
    <w:rsid w:val="00806685"/>
    <w:rsid w:val="00806F9A"/>
    <w:rsid w:val="008074F6"/>
    <w:rsid w:val="00807A77"/>
    <w:rsid w:val="00811342"/>
    <w:rsid w:val="008121B7"/>
    <w:rsid w:val="00812E9C"/>
    <w:rsid w:val="00812F52"/>
    <w:rsid w:val="00813141"/>
    <w:rsid w:val="00814501"/>
    <w:rsid w:val="00814833"/>
    <w:rsid w:val="008152D9"/>
    <w:rsid w:val="0081574E"/>
    <w:rsid w:val="008159DD"/>
    <w:rsid w:val="00820090"/>
    <w:rsid w:val="00820D9B"/>
    <w:rsid w:val="00821B40"/>
    <w:rsid w:val="008227CD"/>
    <w:rsid w:val="008249AA"/>
    <w:rsid w:val="00824F7C"/>
    <w:rsid w:val="00825045"/>
    <w:rsid w:val="008253DA"/>
    <w:rsid w:val="00825FA0"/>
    <w:rsid w:val="00826AE5"/>
    <w:rsid w:val="00827894"/>
    <w:rsid w:val="00827B6D"/>
    <w:rsid w:val="00830291"/>
    <w:rsid w:val="0083065D"/>
    <w:rsid w:val="008309C6"/>
    <w:rsid w:val="008310F8"/>
    <w:rsid w:val="008317BD"/>
    <w:rsid w:val="00831B2A"/>
    <w:rsid w:val="00832A3B"/>
    <w:rsid w:val="00834646"/>
    <w:rsid w:val="008349DF"/>
    <w:rsid w:val="00835073"/>
    <w:rsid w:val="008357A6"/>
    <w:rsid w:val="00835D5F"/>
    <w:rsid w:val="0083732E"/>
    <w:rsid w:val="008373AB"/>
    <w:rsid w:val="00837BC2"/>
    <w:rsid w:val="008413BA"/>
    <w:rsid w:val="00842978"/>
    <w:rsid w:val="00843D47"/>
    <w:rsid w:val="008441B2"/>
    <w:rsid w:val="00844765"/>
    <w:rsid w:val="00844BE4"/>
    <w:rsid w:val="00845155"/>
    <w:rsid w:val="00845DFF"/>
    <w:rsid w:val="008466F6"/>
    <w:rsid w:val="0084755B"/>
    <w:rsid w:val="0085001D"/>
    <w:rsid w:val="00850BAB"/>
    <w:rsid w:val="00851627"/>
    <w:rsid w:val="00851E9E"/>
    <w:rsid w:val="00852122"/>
    <w:rsid w:val="008523F2"/>
    <w:rsid w:val="00852B2F"/>
    <w:rsid w:val="0085368F"/>
    <w:rsid w:val="00854D51"/>
    <w:rsid w:val="00856F54"/>
    <w:rsid w:val="00857220"/>
    <w:rsid w:val="00857BAC"/>
    <w:rsid w:val="008619F0"/>
    <w:rsid w:val="008631AC"/>
    <w:rsid w:val="00863511"/>
    <w:rsid w:val="008641C7"/>
    <w:rsid w:val="00865AB2"/>
    <w:rsid w:val="00866736"/>
    <w:rsid w:val="00867277"/>
    <w:rsid w:val="008672A7"/>
    <w:rsid w:val="00867FF4"/>
    <w:rsid w:val="0087012D"/>
    <w:rsid w:val="008719CD"/>
    <w:rsid w:val="00871BA4"/>
    <w:rsid w:val="00871BBC"/>
    <w:rsid w:val="00871C17"/>
    <w:rsid w:val="00872063"/>
    <w:rsid w:val="008728E1"/>
    <w:rsid w:val="00874236"/>
    <w:rsid w:val="00874325"/>
    <w:rsid w:val="00874693"/>
    <w:rsid w:val="00875101"/>
    <w:rsid w:val="0087521B"/>
    <w:rsid w:val="00875CD2"/>
    <w:rsid w:val="0087654F"/>
    <w:rsid w:val="0088032C"/>
    <w:rsid w:val="008816A7"/>
    <w:rsid w:val="00882F66"/>
    <w:rsid w:val="00883189"/>
    <w:rsid w:val="00883434"/>
    <w:rsid w:val="0088362B"/>
    <w:rsid w:val="008839FB"/>
    <w:rsid w:val="0088411D"/>
    <w:rsid w:val="0088428B"/>
    <w:rsid w:val="00884399"/>
    <w:rsid w:val="00884F3F"/>
    <w:rsid w:val="0088564E"/>
    <w:rsid w:val="008862BD"/>
    <w:rsid w:val="008872F4"/>
    <w:rsid w:val="008922A4"/>
    <w:rsid w:val="0089263B"/>
    <w:rsid w:val="0089372C"/>
    <w:rsid w:val="008946F4"/>
    <w:rsid w:val="008979CE"/>
    <w:rsid w:val="00897E29"/>
    <w:rsid w:val="00897ECD"/>
    <w:rsid w:val="008A100B"/>
    <w:rsid w:val="008A10A4"/>
    <w:rsid w:val="008A1F37"/>
    <w:rsid w:val="008A2E45"/>
    <w:rsid w:val="008A303E"/>
    <w:rsid w:val="008A3B79"/>
    <w:rsid w:val="008A3BED"/>
    <w:rsid w:val="008A4C7D"/>
    <w:rsid w:val="008A5237"/>
    <w:rsid w:val="008A600A"/>
    <w:rsid w:val="008A615E"/>
    <w:rsid w:val="008A7408"/>
    <w:rsid w:val="008B06B5"/>
    <w:rsid w:val="008B09C5"/>
    <w:rsid w:val="008B0C48"/>
    <w:rsid w:val="008B0D80"/>
    <w:rsid w:val="008B0F62"/>
    <w:rsid w:val="008B1A32"/>
    <w:rsid w:val="008B2E6E"/>
    <w:rsid w:val="008B2FA7"/>
    <w:rsid w:val="008B3074"/>
    <w:rsid w:val="008B3789"/>
    <w:rsid w:val="008B37E9"/>
    <w:rsid w:val="008B3FAF"/>
    <w:rsid w:val="008B5BCD"/>
    <w:rsid w:val="008B6F34"/>
    <w:rsid w:val="008B7C9A"/>
    <w:rsid w:val="008B7FD7"/>
    <w:rsid w:val="008C1B3C"/>
    <w:rsid w:val="008C27A7"/>
    <w:rsid w:val="008C3482"/>
    <w:rsid w:val="008C3FBC"/>
    <w:rsid w:val="008C42E1"/>
    <w:rsid w:val="008C5794"/>
    <w:rsid w:val="008C57D3"/>
    <w:rsid w:val="008C65C5"/>
    <w:rsid w:val="008C7560"/>
    <w:rsid w:val="008D0797"/>
    <w:rsid w:val="008D18E8"/>
    <w:rsid w:val="008D1D84"/>
    <w:rsid w:val="008D4117"/>
    <w:rsid w:val="008D520A"/>
    <w:rsid w:val="008D6481"/>
    <w:rsid w:val="008D7883"/>
    <w:rsid w:val="008E1969"/>
    <w:rsid w:val="008E3738"/>
    <w:rsid w:val="008E45A7"/>
    <w:rsid w:val="008E51E2"/>
    <w:rsid w:val="008E5BFB"/>
    <w:rsid w:val="008E6DCA"/>
    <w:rsid w:val="008E7A5D"/>
    <w:rsid w:val="008F0FA3"/>
    <w:rsid w:val="008F27B4"/>
    <w:rsid w:val="008F2927"/>
    <w:rsid w:val="008F2CCC"/>
    <w:rsid w:val="008F3369"/>
    <w:rsid w:val="008F341E"/>
    <w:rsid w:val="008F42C3"/>
    <w:rsid w:val="008F5FF8"/>
    <w:rsid w:val="008F6CB8"/>
    <w:rsid w:val="008F7A2C"/>
    <w:rsid w:val="008F7D64"/>
    <w:rsid w:val="00900591"/>
    <w:rsid w:val="00900C5E"/>
    <w:rsid w:val="009012CD"/>
    <w:rsid w:val="009014AD"/>
    <w:rsid w:val="009016CF"/>
    <w:rsid w:val="009019C2"/>
    <w:rsid w:val="009025D3"/>
    <w:rsid w:val="0090290F"/>
    <w:rsid w:val="00903CB4"/>
    <w:rsid w:val="00904EF9"/>
    <w:rsid w:val="00907489"/>
    <w:rsid w:val="009101F7"/>
    <w:rsid w:val="00911289"/>
    <w:rsid w:val="00911477"/>
    <w:rsid w:val="00911C2B"/>
    <w:rsid w:val="009122CD"/>
    <w:rsid w:val="0091292F"/>
    <w:rsid w:val="00913D53"/>
    <w:rsid w:val="009152F6"/>
    <w:rsid w:val="009154D7"/>
    <w:rsid w:val="00915BD6"/>
    <w:rsid w:val="00916965"/>
    <w:rsid w:val="00917F85"/>
    <w:rsid w:val="009228BE"/>
    <w:rsid w:val="00923C03"/>
    <w:rsid w:val="0092523F"/>
    <w:rsid w:val="009255E8"/>
    <w:rsid w:val="009262F6"/>
    <w:rsid w:val="00927C91"/>
    <w:rsid w:val="0093124D"/>
    <w:rsid w:val="0093235D"/>
    <w:rsid w:val="00932879"/>
    <w:rsid w:val="00933190"/>
    <w:rsid w:val="00934534"/>
    <w:rsid w:val="00935088"/>
    <w:rsid w:val="00935151"/>
    <w:rsid w:val="00935187"/>
    <w:rsid w:val="00936B7E"/>
    <w:rsid w:val="009379AA"/>
    <w:rsid w:val="00937D2F"/>
    <w:rsid w:val="00941D21"/>
    <w:rsid w:val="00941EB1"/>
    <w:rsid w:val="009437B7"/>
    <w:rsid w:val="00943F64"/>
    <w:rsid w:val="00944778"/>
    <w:rsid w:val="0094579E"/>
    <w:rsid w:val="00946485"/>
    <w:rsid w:val="00946903"/>
    <w:rsid w:val="00951B9C"/>
    <w:rsid w:val="0095210E"/>
    <w:rsid w:val="00953383"/>
    <w:rsid w:val="00953809"/>
    <w:rsid w:val="00953ABE"/>
    <w:rsid w:val="00953E44"/>
    <w:rsid w:val="00954DD0"/>
    <w:rsid w:val="00954E71"/>
    <w:rsid w:val="00954EC1"/>
    <w:rsid w:val="00955B6A"/>
    <w:rsid w:val="00956256"/>
    <w:rsid w:val="009567A6"/>
    <w:rsid w:val="009569FD"/>
    <w:rsid w:val="00960FA7"/>
    <w:rsid w:val="00961373"/>
    <w:rsid w:val="00961E7E"/>
    <w:rsid w:val="0096213B"/>
    <w:rsid w:val="00962166"/>
    <w:rsid w:val="0096308D"/>
    <w:rsid w:val="00963D67"/>
    <w:rsid w:val="0096408F"/>
    <w:rsid w:val="00965456"/>
    <w:rsid w:val="009668CF"/>
    <w:rsid w:val="00966DEA"/>
    <w:rsid w:val="0097011C"/>
    <w:rsid w:val="00970773"/>
    <w:rsid w:val="00970BC8"/>
    <w:rsid w:val="00970D66"/>
    <w:rsid w:val="00976100"/>
    <w:rsid w:val="00976275"/>
    <w:rsid w:val="00977E67"/>
    <w:rsid w:val="0098081F"/>
    <w:rsid w:val="0098088D"/>
    <w:rsid w:val="009808CE"/>
    <w:rsid w:val="00980E4B"/>
    <w:rsid w:val="009812B7"/>
    <w:rsid w:val="009813C0"/>
    <w:rsid w:val="00981455"/>
    <w:rsid w:val="00981698"/>
    <w:rsid w:val="00981C7E"/>
    <w:rsid w:val="00981E2C"/>
    <w:rsid w:val="009822CB"/>
    <w:rsid w:val="00982380"/>
    <w:rsid w:val="00983C7E"/>
    <w:rsid w:val="00984B26"/>
    <w:rsid w:val="009855B3"/>
    <w:rsid w:val="00985B9A"/>
    <w:rsid w:val="0098696C"/>
    <w:rsid w:val="00986F3A"/>
    <w:rsid w:val="009875CD"/>
    <w:rsid w:val="0098768B"/>
    <w:rsid w:val="009916AA"/>
    <w:rsid w:val="0099229F"/>
    <w:rsid w:val="009926AE"/>
    <w:rsid w:val="00992FE8"/>
    <w:rsid w:val="0099331C"/>
    <w:rsid w:val="009934AD"/>
    <w:rsid w:val="00995F2F"/>
    <w:rsid w:val="009A2795"/>
    <w:rsid w:val="009A2932"/>
    <w:rsid w:val="009A2C75"/>
    <w:rsid w:val="009A303F"/>
    <w:rsid w:val="009A407E"/>
    <w:rsid w:val="009A4815"/>
    <w:rsid w:val="009A58F6"/>
    <w:rsid w:val="009A6C16"/>
    <w:rsid w:val="009B2941"/>
    <w:rsid w:val="009B2DEE"/>
    <w:rsid w:val="009B2E7E"/>
    <w:rsid w:val="009B2F1D"/>
    <w:rsid w:val="009B32B8"/>
    <w:rsid w:val="009B3CA0"/>
    <w:rsid w:val="009B3CDE"/>
    <w:rsid w:val="009B6531"/>
    <w:rsid w:val="009B66EA"/>
    <w:rsid w:val="009B6CE9"/>
    <w:rsid w:val="009B7B77"/>
    <w:rsid w:val="009B7CE4"/>
    <w:rsid w:val="009C0481"/>
    <w:rsid w:val="009C15E5"/>
    <w:rsid w:val="009C23C0"/>
    <w:rsid w:val="009C28EB"/>
    <w:rsid w:val="009C38C7"/>
    <w:rsid w:val="009C4453"/>
    <w:rsid w:val="009C552A"/>
    <w:rsid w:val="009C59FC"/>
    <w:rsid w:val="009C78F2"/>
    <w:rsid w:val="009C7937"/>
    <w:rsid w:val="009C7B57"/>
    <w:rsid w:val="009C7BF9"/>
    <w:rsid w:val="009D016B"/>
    <w:rsid w:val="009D1949"/>
    <w:rsid w:val="009D1D22"/>
    <w:rsid w:val="009D1F5D"/>
    <w:rsid w:val="009D23AF"/>
    <w:rsid w:val="009D367E"/>
    <w:rsid w:val="009D4418"/>
    <w:rsid w:val="009D5507"/>
    <w:rsid w:val="009D551A"/>
    <w:rsid w:val="009D5903"/>
    <w:rsid w:val="009D7098"/>
    <w:rsid w:val="009D789D"/>
    <w:rsid w:val="009E0299"/>
    <w:rsid w:val="009E08CF"/>
    <w:rsid w:val="009E1D7D"/>
    <w:rsid w:val="009E25E9"/>
    <w:rsid w:val="009E26C2"/>
    <w:rsid w:val="009E3037"/>
    <w:rsid w:val="009E40BD"/>
    <w:rsid w:val="009E4A28"/>
    <w:rsid w:val="009E4E85"/>
    <w:rsid w:val="009E5398"/>
    <w:rsid w:val="009E6CEE"/>
    <w:rsid w:val="009F1771"/>
    <w:rsid w:val="009F2140"/>
    <w:rsid w:val="009F28B2"/>
    <w:rsid w:val="009F2D1F"/>
    <w:rsid w:val="009F2F4D"/>
    <w:rsid w:val="009F2F70"/>
    <w:rsid w:val="009F3F2D"/>
    <w:rsid w:val="009F3F38"/>
    <w:rsid w:val="009F3FCE"/>
    <w:rsid w:val="009F4C68"/>
    <w:rsid w:val="009F4CD7"/>
    <w:rsid w:val="009F5484"/>
    <w:rsid w:val="009F600E"/>
    <w:rsid w:val="009F6AC1"/>
    <w:rsid w:val="009F745E"/>
    <w:rsid w:val="009F751F"/>
    <w:rsid w:val="009F76B1"/>
    <w:rsid w:val="009F7B69"/>
    <w:rsid w:val="00A03E5A"/>
    <w:rsid w:val="00A06DCA"/>
    <w:rsid w:val="00A06EEE"/>
    <w:rsid w:val="00A0724D"/>
    <w:rsid w:val="00A115BB"/>
    <w:rsid w:val="00A128DF"/>
    <w:rsid w:val="00A12E72"/>
    <w:rsid w:val="00A13760"/>
    <w:rsid w:val="00A137A5"/>
    <w:rsid w:val="00A14B33"/>
    <w:rsid w:val="00A16EF4"/>
    <w:rsid w:val="00A17B3F"/>
    <w:rsid w:val="00A20156"/>
    <w:rsid w:val="00A20E12"/>
    <w:rsid w:val="00A20EA3"/>
    <w:rsid w:val="00A21645"/>
    <w:rsid w:val="00A21A1D"/>
    <w:rsid w:val="00A22156"/>
    <w:rsid w:val="00A22B7E"/>
    <w:rsid w:val="00A22F1A"/>
    <w:rsid w:val="00A241D4"/>
    <w:rsid w:val="00A24F66"/>
    <w:rsid w:val="00A2523C"/>
    <w:rsid w:val="00A257C7"/>
    <w:rsid w:val="00A25CF3"/>
    <w:rsid w:val="00A25F2E"/>
    <w:rsid w:val="00A27F50"/>
    <w:rsid w:val="00A306C0"/>
    <w:rsid w:val="00A307E4"/>
    <w:rsid w:val="00A314F5"/>
    <w:rsid w:val="00A31887"/>
    <w:rsid w:val="00A321D2"/>
    <w:rsid w:val="00A32B13"/>
    <w:rsid w:val="00A33447"/>
    <w:rsid w:val="00A34106"/>
    <w:rsid w:val="00A34D4B"/>
    <w:rsid w:val="00A37A4C"/>
    <w:rsid w:val="00A41575"/>
    <w:rsid w:val="00A416CB"/>
    <w:rsid w:val="00A42137"/>
    <w:rsid w:val="00A433EF"/>
    <w:rsid w:val="00A438FD"/>
    <w:rsid w:val="00A43ED5"/>
    <w:rsid w:val="00A44469"/>
    <w:rsid w:val="00A449FC"/>
    <w:rsid w:val="00A44EDE"/>
    <w:rsid w:val="00A4574B"/>
    <w:rsid w:val="00A45953"/>
    <w:rsid w:val="00A45C3B"/>
    <w:rsid w:val="00A465A6"/>
    <w:rsid w:val="00A47A5B"/>
    <w:rsid w:val="00A50372"/>
    <w:rsid w:val="00A510D7"/>
    <w:rsid w:val="00A52599"/>
    <w:rsid w:val="00A5312C"/>
    <w:rsid w:val="00A5348E"/>
    <w:rsid w:val="00A536DD"/>
    <w:rsid w:val="00A54104"/>
    <w:rsid w:val="00A54620"/>
    <w:rsid w:val="00A5508A"/>
    <w:rsid w:val="00A55573"/>
    <w:rsid w:val="00A56786"/>
    <w:rsid w:val="00A57540"/>
    <w:rsid w:val="00A6112F"/>
    <w:rsid w:val="00A61427"/>
    <w:rsid w:val="00A63548"/>
    <w:rsid w:val="00A63A5C"/>
    <w:rsid w:val="00A6452C"/>
    <w:rsid w:val="00A649AB"/>
    <w:rsid w:val="00A65FCB"/>
    <w:rsid w:val="00A70700"/>
    <w:rsid w:val="00A708D1"/>
    <w:rsid w:val="00A709E9"/>
    <w:rsid w:val="00A712F6"/>
    <w:rsid w:val="00A71A14"/>
    <w:rsid w:val="00A720FC"/>
    <w:rsid w:val="00A722E2"/>
    <w:rsid w:val="00A7291D"/>
    <w:rsid w:val="00A73DF7"/>
    <w:rsid w:val="00A7446F"/>
    <w:rsid w:val="00A746EC"/>
    <w:rsid w:val="00A75A3B"/>
    <w:rsid w:val="00A774E1"/>
    <w:rsid w:val="00A77797"/>
    <w:rsid w:val="00A802D6"/>
    <w:rsid w:val="00A811CE"/>
    <w:rsid w:val="00A81649"/>
    <w:rsid w:val="00A821D6"/>
    <w:rsid w:val="00A8384D"/>
    <w:rsid w:val="00A841AE"/>
    <w:rsid w:val="00A842AC"/>
    <w:rsid w:val="00A861D1"/>
    <w:rsid w:val="00A8728A"/>
    <w:rsid w:val="00A906A5"/>
    <w:rsid w:val="00A9078F"/>
    <w:rsid w:val="00A909CC"/>
    <w:rsid w:val="00A90B5D"/>
    <w:rsid w:val="00A9195F"/>
    <w:rsid w:val="00A9218F"/>
    <w:rsid w:val="00A93C21"/>
    <w:rsid w:val="00A94C03"/>
    <w:rsid w:val="00A952B6"/>
    <w:rsid w:val="00A956D8"/>
    <w:rsid w:val="00A95BC2"/>
    <w:rsid w:val="00A9721B"/>
    <w:rsid w:val="00A977EC"/>
    <w:rsid w:val="00A97B7D"/>
    <w:rsid w:val="00AA08F2"/>
    <w:rsid w:val="00AA3232"/>
    <w:rsid w:val="00AA35C0"/>
    <w:rsid w:val="00AA3CA3"/>
    <w:rsid w:val="00AA3CD8"/>
    <w:rsid w:val="00AA4C87"/>
    <w:rsid w:val="00AA4E4E"/>
    <w:rsid w:val="00AA5FFA"/>
    <w:rsid w:val="00AA7EC2"/>
    <w:rsid w:val="00AB0515"/>
    <w:rsid w:val="00AB1FAE"/>
    <w:rsid w:val="00AB2215"/>
    <w:rsid w:val="00AB2946"/>
    <w:rsid w:val="00AB2A0C"/>
    <w:rsid w:val="00AB3BCA"/>
    <w:rsid w:val="00AB3D6E"/>
    <w:rsid w:val="00AB4F1F"/>
    <w:rsid w:val="00AB5FFD"/>
    <w:rsid w:val="00AB6E12"/>
    <w:rsid w:val="00AB79CE"/>
    <w:rsid w:val="00AB7EC4"/>
    <w:rsid w:val="00AC027E"/>
    <w:rsid w:val="00AC0EEA"/>
    <w:rsid w:val="00AC1E38"/>
    <w:rsid w:val="00AC45B3"/>
    <w:rsid w:val="00AC4C3A"/>
    <w:rsid w:val="00AC4CFC"/>
    <w:rsid w:val="00AC5261"/>
    <w:rsid w:val="00AD07A4"/>
    <w:rsid w:val="00AD0E89"/>
    <w:rsid w:val="00AD1F00"/>
    <w:rsid w:val="00AD1FB3"/>
    <w:rsid w:val="00AD2AF5"/>
    <w:rsid w:val="00AD39B8"/>
    <w:rsid w:val="00AD3C69"/>
    <w:rsid w:val="00AD3D0B"/>
    <w:rsid w:val="00AD428D"/>
    <w:rsid w:val="00AD434D"/>
    <w:rsid w:val="00AD48F6"/>
    <w:rsid w:val="00AD52AA"/>
    <w:rsid w:val="00AD70A1"/>
    <w:rsid w:val="00AD721B"/>
    <w:rsid w:val="00AE1D0D"/>
    <w:rsid w:val="00AE1DAD"/>
    <w:rsid w:val="00AE1E58"/>
    <w:rsid w:val="00AE31B0"/>
    <w:rsid w:val="00AE3280"/>
    <w:rsid w:val="00AE3D16"/>
    <w:rsid w:val="00AE41B4"/>
    <w:rsid w:val="00AF0094"/>
    <w:rsid w:val="00AF01D9"/>
    <w:rsid w:val="00AF032F"/>
    <w:rsid w:val="00AF045C"/>
    <w:rsid w:val="00AF1361"/>
    <w:rsid w:val="00AF1906"/>
    <w:rsid w:val="00AF24FF"/>
    <w:rsid w:val="00AF2E35"/>
    <w:rsid w:val="00AF39CD"/>
    <w:rsid w:val="00AF4D08"/>
    <w:rsid w:val="00AF651C"/>
    <w:rsid w:val="00AF7AEB"/>
    <w:rsid w:val="00AF7BE1"/>
    <w:rsid w:val="00B01AB2"/>
    <w:rsid w:val="00B03402"/>
    <w:rsid w:val="00B03457"/>
    <w:rsid w:val="00B03F6E"/>
    <w:rsid w:val="00B05324"/>
    <w:rsid w:val="00B06868"/>
    <w:rsid w:val="00B10DA1"/>
    <w:rsid w:val="00B10E18"/>
    <w:rsid w:val="00B118E4"/>
    <w:rsid w:val="00B1289E"/>
    <w:rsid w:val="00B12C7D"/>
    <w:rsid w:val="00B13529"/>
    <w:rsid w:val="00B13646"/>
    <w:rsid w:val="00B138AE"/>
    <w:rsid w:val="00B13DDC"/>
    <w:rsid w:val="00B13E7A"/>
    <w:rsid w:val="00B15DEB"/>
    <w:rsid w:val="00B1662B"/>
    <w:rsid w:val="00B1748D"/>
    <w:rsid w:val="00B17E04"/>
    <w:rsid w:val="00B2049F"/>
    <w:rsid w:val="00B216D8"/>
    <w:rsid w:val="00B25140"/>
    <w:rsid w:val="00B2528D"/>
    <w:rsid w:val="00B3065A"/>
    <w:rsid w:val="00B30CB8"/>
    <w:rsid w:val="00B310BA"/>
    <w:rsid w:val="00B313E9"/>
    <w:rsid w:val="00B31822"/>
    <w:rsid w:val="00B319B5"/>
    <w:rsid w:val="00B32534"/>
    <w:rsid w:val="00B32E7B"/>
    <w:rsid w:val="00B32F6C"/>
    <w:rsid w:val="00B34E58"/>
    <w:rsid w:val="00B35634"/>
    <w:rsid w:val="00B3588D"/>
    <w:rsid w:val="00B37CCB"/>
    <w:rsid w:val="00B40556"/>
    <w:rsid w:val="00B41633"/>
    <w:rsid w:val="00B42BFA"/>
    <w:rsid w:val="00B43676"/>
    <w:rsid w:val="00B43AC7"/>
    <w:rsid w:val="00B43C6C"/>
    <w:rsid w:val="00B43C7C"/>
    <w:rsid w:val="00B456FA"/>
    <w:rsid w:val="00B45D28"/>
    <w:rsid w:val="00B462AE"/>
    <w:rsid w:val="00B46BDB"/>
    <w:rsid w:val="00B47AC4"/>
    <w:rsid w:val="00B47BC4"/>
    <w:rsid w:val="00B50D09"/>
    <w:rsid w:val="00B51897"/>
    <w:rsid w:val="00B5224D"/>
    <w:rsid w:val="00B5322A"/>
    <w:rsid w:val="00B5437D"/>
    <w:rsid w:val="00B544AF"/>
    <w:rsid w:val="00B54D3D"/>
    <w:rsid w:val="00B56C9E"/>
    <w:rsid w:val="00B57021"/>
    <w:rsid w:val="00B57F16"/>
    <w:rsid w:val="00B605C6"/>
    <w:rsid w:val="00B60C1A"/>
    <w:rsid w:val="00B62285"/>
    <w:rsid w:val="00B63079"/>
    <w:rsid w:val="00B63387"/>
    <w:rsid w:val="00B650B8"/>
    <w:rsid w:val="00B6632E"/>
    <w:rsid w:val="00B672A9"/>
    <w:rsid w:val="00B67676"/>
    <w:rsid w:val="00B70866"/>
    <w:rsid w:val="00B70B75"/>
    <w:rsid w:val="00B71C42"/>
    <w:rsid w:val="00B71FA6"/>
    <w:rsid w:val="00B72C87"/>
    <w:rsid w:val="00B73486"/>
    <w:rsid w:val="00B74114"/>
    <w:rsid w:val="00B743E6"/>
    <w:rsid w:val="00B7483C"/>
    <w:rsid w:val="00B7496A"/>
    <w:rsid w:val="00B7543E"/>
    <w:rsid w:val="00B75B8D"/>
    <w:rsid w:val="00B75F76"/>
    <w:rsid w:val="00B76734"/>
    <w:rsid w:val="00B7686F"/>
    <w:rsid w:val="00B76F8C"/>
    <w:rsid w:val="00B8017A"/>
    <w:rsid w:val="00B81266"/>
    <w:rsid w:val="00B8155E"/>
    <w:rsid w:val="00B826BA"/>
    <w:rsid w:val="00B82848"/>
    <w:rsid w:val="00B83867"/>
    <w:rsid w:val="00B845D8"/>
    <w:rsid w:val="00B84712"/>
    <w:rsid w:val="00B84CE0"/>
    <w:rsid w:val="00B85AE7"/>
    <w:rsid w:val="00B86DC8"/>
    <w:rsid w:val="00B87DC7"/>
    <w:rsid w:val="00B90467"/>
    <w:rsid w:val="00B90AF7"/>
    <w:rsid w:val="00B91486"/>
    <w:rsid w:val="00B91FD4"/>
    <w:rsid w:val="00B922FE"/>
    <w:rsid w:val="00B92624"/>
    <w:rsid w:val="00B937E7"/>
    <w:rsid w:val="00B93E49"/>
    <w:rsid w:val="00B94060"/>
    <w:rsid w:val="00B95D2F"/>
    <w:rsid w:val="00B95F3B"/>
    <w:rsid w:val="00BA317F"/>
    <w:rsid w:val="00BA3679"/>
    <w:rsid w:val="00BA3A42"/>
    <w:rsid w:val="00BA3CDB"/>
    <w:rsid w:val="00BA46C3"/>
    <w:rsid w:val="00BA54BB"/>
    <w:rsid w:val="00BA6EE5"/>
    <w:rsid w:val="00BA71E6"/>
    <w:rsid w:val="00BA7D11"/>
    <w:rsid w:val="00BB0174"/>
    <w:rsid w:val="00BB179C"/>
    <w:rsid w:val="00BB1A47"/>
    <w:rsid w:val="00BB5EC1"/>
    <w:rsid w:val="00BB626B"/>
    <w:rsid w:val="00BB63DF"/>
    <w:rsid w:val="00BB6734"/>
    <w:rsid w:val="00BB691C"/>
    <w:rsid w:val="00BB6C34"/>
    <w:rsid w:val="00BB6D6A"/>
    <w:rsid w:val="00BB7360"/>
    <w:rsid w:val="00BB787D"/>
    <w:rsid w:val="00BC03AF"/>
    <w:rsid w:val="00BC1D24"/>
    <w:rsid w:val="00BC1E2E"/>
    <w:rsid w:val="00BC3659"/>
    <w:rsid w:val="00BC3ED1"/>
    <w:rsid w:val="00BC3F6F"/>
    <w:rsid w:val="00BC45CB"/>
    <w:rsid w:val="00BC4CC2"/>
    <w:rsid w:val="00BC6651"/>
    <w:rsid w:val="00BC672E"/>
    <w:rsid w:val="00BC7C91"/>
    <w:rsid w:val="00BC7CD4"/>
    <w:rsid w:val="00BD41BC"/>
    <w:rsid w:val="00BD5DEF"/>
    <w:rsid w:val="00BD5E8B"/>
    <w:rsid w:val="00BD5F4B"/>
    <w:rsid w:val="00BD64CA"/>
    <w:rsid w:val="00BD64F9"/>
    <w:rsid w:val="00BD742E"/>
    <w:rsid w:val="00BE0594"/>
    <w:rsid w:val="00BE0A31"/>
    <w:rsid w:val="00BE1407"/>
    <w:rsid w:val="00BE1DEC"/>
    <w:rsid w:val="00BE2130"/>
    <w:rsid w:val="00BE2C60"/>
    <w:rsid w:val="00BE3951"/>
    <w:rsid w:val="00BE3E2B"/>
    <w:rsid w:val="00BE401B"/>
    <w:rsid w:val="00BE5A3F"/>
    <w:rsid w:val="00BE5CD0"/>
    <w:rsid w:val="00BE6FE8"/>
    <w:rsid w:val="00BE7D99"/>
    <w:rsid w:val="00BE7DC6"/>
    <w:rsid w:val="00BF03CF"/>
    <w:rsid w:val="00BF0491"/>
    <w:rsid w:val="00BF1B10"/>
    <w:rsid w:val="00BF1D0C"/>
    <w:rsid w:val="00BF3775"/>
    <w:rsid w:val="00BF4562"/>
    <w:rsid w:val="00BF5282"/>
    <w:rsid w:val="00BF5A42"/>
    <w:rsid w:val="00C0076B"/>
    <w:rsid w:val="00C01EB0"/>
    <w:rsid w:val="00C0290D"/>
    <w:rsid w:val="00C03E87"/>
    <w:rsid w:val="00C0403F"/>
    <w:rsid w:val="00C043C8"/>
    <w:rsid w:val="00C04809"/>
    <w:rsid w:val="00C04D36"/>
    <w:rsid w:val="00C05CB6"/>
    <w:rsid w:val="00C06033"/>
    <w:rsid w:val="00C06AEB"/>
    <w:rsid w:val="00C074CE"/>
    <w:rsid w:val="00C077E1"/>
    <w:rsid w:val="00C0791F"/>
    <w:rsid w:val="00C07974"/>
    <w:rsid w:val="00C1076C"/>
    <w:rsid w:val="00C10FA2"/>
    <w:rsid w:val="00C10FF9"/>
    <w:rsid w:val="00C11482"/>
    <w:rsid w:val="00C11812"/>
    <w:rsid w:val="00C11AB4"/>
    <w:rsid w:val="00C1229C"/>
    <w:rsid w:val="00C12417"/>
    <w:rsid w:val="00C12C01"/>
    <w:rsid w:val="00C13E2A"/>
    <w:rsid w:val="00C1422A"/>
    <w:rsid w:val="00C153BB"/>
    <w:rsid w:val="00C155FD"/>
    <w:rsid w:val="00C15F22"/>
    <w:rsid w:val="00C16F4D"/>
    <w:rsid w:val="00C17406"/>
    <w:rsid w:val="00C179A6"/>
    <w:rsid w:val="00C2070F"/>
    <w:rsid w:val="00C21169"/>
    <w:rsid w:val="00C22CEC"/>
    <w:rsid w:val="00C23475"/>
    <w:rsid w:val="00C250D0"/>
    <w:rsid w:val="00C26F4E"/>
    <w:rsid w:val="00C27BB5"/>
    <w:rsid w:val="00C302F7"/>
    <w:rsid w:val="00C307A7"/>
    <w:rsid w:val="00C30FDD"/>
    <w:rsid w:val="00C315DC"/>
    <w:rsid w:val="00C33354"/>
    <w:rsid w:val="00C336F1"/>
    <w:rsid w:val="00C36234"/>
    <w:rsid w:val="00C36288"/>
    <w:rsid w:val="00C362F3"/>
    <w:rsid w:val="00C41039"/>
    <w:rsid w:val="00C42686"/>
    <w:rsid w:val="00C4363E"/>
    <w:rsid w:val="00C43873"/>
    <w:rsid w:val="00C441F8"/>
    <w:rsid w:val="00C44CFA"/>
    <w:rsid w:val="00C44F6B"/>
    <w:rsid w:val="00C45EC0"/>
    <w:rsid w:val="00C45EDE"/>
    <w:rsid w:val="00C4701D"/>
    <w:rsid w:val="00C47D0E"/>
    <w:rsid w:val="00C47F69"/>
    <w:rsid w:val="00C52D29"/>
    <w:rsid w:val="00C53356"/>
    <w:rsid w:val="00C53DA6"/>
    <w:rsid w:val="00C54688"/>
    <w:rsid w:val="00C55A47"/>
    <w:rsid w:val="00C55EEF"/>
    <w:rsid w:val="00C57272"/>
    <w:rsid w:val="00C578A9"/>
    <w:rsid w:val="00C57BBB"/>
    <w:rsid w:val="00C60150"/>
    <w:rsid w:val="00C61E27"/>
    <w:rsid w:val="00C61F95"/>
    <w:rsid w:val="00C62389"/>
    <w:rsid w:val="00C630CE"/>
    <w:rsid w:val="00C63AF8"/>
    <w:rsid w:val="00C644F7"/>
    <w:rsid w:val="00C658EB"/>
    <w:rsid w:val="00C65EAA"/>
    <w:rsid w:val="00C70515"/>
    <w:rsid w:val="00C70F30"/>
    <w:rsid w:val="00C713A8"/>
    <w:rsid w:val="00C7182D"/>
    <w:rsid w:val="00C71B5F"/>
    <w:rsid w:val="00C71F99"/>
    <w:rsid w:val="00C73A00"/>
    <w:rsid w:val="00C73E10"/>
    <w:rsid w:val="00C74913"/>
    <w:rsid w:val="00C74FC3"/>
    <w:rsid w:val="00C75922"/>
    <w:rsid w:val="00C76909"/>
    <w:rsid w:val="00C76D03"/>
    <w:rsid w:val="00C77A64"/>
    <w:rsid w:val="00C8020E"/>
    <w:rsid w:val="00C80BD9"/>
    <w:rsid w:val="00C8547C"/>
    <w:rsid w:val="00C854DB"/>
    <w:rsid w:val="00C86254"/>
    <w:rsid w:val="00C900BF"/>
    <w:rsid w:val="00C909F9"/>
    <w:rsid w:val="00C90C5B"/>
    <w:rsid w:val="00C94E13"/>
    <w:rsid w:val="00C95669"/>
    <w:rsid w:val="00C970B9"/>
    <w:rsid w:val="00C973A3"/>
    <w:rsid w:val="00C973A5"/>
    <w:rsid w:val="00CA01B2"/>
    <w:rsid w:val="00CA0816"/>
    <w:rsid w:val="00CA0AD0"/>
    <w:rsid w:val="00CA2C29"/>
    <w:rsid w:val="00CA309A"/>
    <w:rsid w:val="00CA4C5C"/>
    <w:rsid w:val="00CA5AB8"/>
    <w:rsid w:val="00CB0591"/>
    <w:rsid w:val="00CB0B5E"/>
    <w:rsid w:val="00CB1674"/>
    <w:rsid w:val="00CB245A"/>
    <w:rsid w:val="00CB4391"/>
    <w:rsid w:val="00CB5D0D"/>
    <w:rsid w:val="00CB74E5"/>
    <w:rsid w:val="00CB7C2D"/>
    <w:rsid w:val="00CC0498"/>
    <w:rsid w:val="00CC234B"/>
    <w:rsid w:val="00CC2556"/>
    <w:rsid w:val="00CC2C5B"/>
    <w:rsid w:val="00CC2F38"/>
    <w:rsid w:val="00CC3517"/>
    <w:rsid w:val="00CC3CBA"/>
    <w:rsid w:val="00CC3FA7"/>
    <w:rsid w:val="00CC5F9D"/>
    <w:rsid w:val="00CC6323"/>
    <w:rsid w:val="00CC6503"/>
    <w:rsid w:val="00CC69D1"/>
    <w:rsid w:val="00CC6A23"/>
    <w:rsid w:val="00CC6A89"/>
    <w:rsid w:val="00CC6F79"/>
    <w:rsid w:val="00CD046F"/>
    <w:rsid w:val="00CD16DC"/>
    <w:rsid w:val="00CD3641"/>
    <w:rsid w:val="00CD385E"/>
    <w:rsid w:val="00CD4ACD"/>
    <w:rsid w:val="00CD5A12"/>
    <w:rsid w:val="00CD6635"/>
    <w:rsid w:val="00CD6A29"/>
    <w:rsid w:val="00CD6FC3"/>
    <w:rsid w:val="00CE010D"/>
    <w:rsid w:val="00CE0D6F"/>
    <w:rsid w:val="00CE0F0F"/>
    <w:rsid w:val="00CE2CC4"/>
    <w:rsid w:val="00CE3BE0"/>
    <w:rsid w:val="00CE4CA2"/>
    <w:rsid w:val="00CE60E7"/>
    <w:rsid w:val="00CE710E"/>
    <w:rsid w:val="00CE7E4E"/>
    <w:rsid w:val="00CF0983"/>
    <w:rsid w:val="00CF09F5"/>
    <w:rsid w:val="00CF0EBD"/>
    <w:rsid w:val="00CF1E24"/>
    <w:rsid w:val="00CF2A4D"/>
    <w:rsid w:val="00CF2E88"/>
    <w:rsid w:val="00CF3022"/>
    <w:rsid w:val="00CF3132"/>
    <w:rsid w:val="00CF3938"/>
    <w:rsid w:val="00CF6039"/>
    <w:rsid w:val="00CF770F"/>
    <w:rsid w:val="00D0058B"/>
    <w:rsid w:val="00D00ED9"/>
    <w:rsid w:val="00D016BA"/>
    <w:rsid w:val="00D02054"/>
    <w:rsid w:val="00D023DC"/>
    <w:rsid w:val="00D02893"/>
    <w:rsid w:val="00D02CCD"/>
    <w:rsid w:val="00D04E52"/>
    <w:rsid w:val="00D0645F"/>
    <w:rsid w:val="00D07EF1"/>
    <w:rsid w:val="00D07F9B"/>
    <w:rsid w:val="00D10B54"/>
    <w:rsid w:val="00D11B97"/>
    <w:rsid w:val="00D12070"/>
    <w:rsid w:val="00D134E6"/>
    <w:rsid w:val="00D14EB2"/>
    <w:rsid w:val="00D17857"/>
    <w:rsid w:val="00D2005C"/>
    <w:rsid w:val="00D200DA"/>
    <w:rsid w:val="00D204CB"/>
    <w:rsid w:val="00D20A06"/>
    <w:rsid w:val="00D2144A"/>
    <w:rsid w:val="00D21A07"/>
    <w:rsid w:val="00D21EE7"/>
    <w:rsid w:val="00D2280D"/>
    <w:rsid w:val="00D22B09"/>
    <w:rsid w:val="00D22B23"/>
    <w:rsid w:val="00D23D26"/>
    <w:rsid w:val="00D24599"/>
    <w:rsid w:val="00D2506F"/>
    <w:rsid w:val="00D25503"/>
    <w:rsid w:val="00D2558D"/>
    <w:rsid w:val="00D26333"/>
    <w:rsid w:val="00D2693F"/>
    <w:rsid w:val="00D2718F"/>
    <w:rsid w:val="00D27E04"/>
    <w:rsid w:val="00D27EF0"/>
    <w:rsid w:val="00D33BF2"/>
    <w:rsid w:val="00D3472F"/>
    <w:rsid w:val="00D34A11"/>
    <w:rsid w:val="00D34DA7"/>
    <w:rsid w:val="00D34DBA"/>
    <w:rsid w:val="00D36940"/>
    <w:rsid w:val="00D37573"/>
    <w:rsid w:val="00D4428A"/>
    <w:rsid w:val="00D4443B"/>
    <w:rsid w:val="00D4456A"/>
    <w:rsid w:val="00D44699"/>
    <w:rsid w:val="00D4529A"/>
    <w:rsid w:val="00D45CD7"/>
    <w:rsid w:val="00D467C0"/>
    <w:rsid w:val="00D5066F"/>
    <w:rsid w:val="00D5221A"/>
    <w:rsid w:val="00D53014"/>
    <w:rsid w:val="00D54B43"/>
    <w:rsid w:val="00D55D6F"/>
    <w:rsid w:val="00D568CB"/>
    <w:rsid w:val="00D60A60"/>
    <w:rsid w:val="00D60F7D"/>
    <w:rsid w:val="00D61012"/>
    <w:rsid w:val="00D610CF"/>
    <w:rsid w:val="00D6178F"/>
    <w:rsid w:val="00D618CD"/>
    <w:rsid w:val="00D61F38"/>
    <w:rsid w:val="00D61FC6"/>
    <w:rsid w:val="00D62103"/>
    <w:rsid w:val="00D626AA"/>
    <w:rsid w:val="00D654B5"/>
    <w:rsid w:val="00D6589A"/>
    <w:rsid w:val="00D65D6F"/>
    <w:rsid w:val="00D65DBD"/>
    <w:rsid w:val="00D65DC8"/>
    <w:rsid w:val="00D65DCC"/>
    <w:rsid w:val="00D65E3A"/>
    <w:rsid w:val="00D6610C"/>
    <w:rsid w:val="00D66FE7"/>
    <w:rsid w:val="00D70458"/>
    <w:rsid w:val="00D706DF"/>
    <w:rsid w:val="00D7204B"/>
    <w:rsid w:val="00D72996"/>
    <w:rsid w:val="00D72C67"/>
    <w:rsid w:val="00D72F6C"/>
    <w:rsid w:val="00D74C9B"/>
    <w:rsid w:val="00D7549E"/>
    <w:rsid w:val="00D8018C"/>
    <w:rsid w:val="00D80824"/>
    <w:rsid w:val="00D83849"/>
    <w:rsid w:val="00D841A1"/>
    <w:rsid w:val="00D84D5A"/>
    <w:rsid w:val="00D86B15"/>
    <w:rsid w:val="00D909B7"/>
    <w:rsid w:val="00D91E3F"/>
    <w:rsid w:val="00D93BDF"/>
    <w:rsid w:val="00D97F50"/>
    <w:rsid w:val="00DA0CCC"/>
    <w:rsid w:val="00DA0FF2"/>
    <w:rsid w:val="00DA2413"/>
    <w:rsid w:val="00DA28A2"/>
    <w:rsid w:val="00DA379C"/>
    <w:rsid w:val="00DA389B"/>
    <w:rsid w:val="00DA3931"/>
    <w:rsid w:val="00DA3E1F"/>
    <w:rsid w:val="00DA4F2E"/>
    <w:rsid w:val="00DA53A2"/>
    <w:rsid w:val="00DA61DC"/>
    <w:rsid w:val="00DA6994"/>
    <w:rsid w:val="00DA7563"/>
    <w:rsid w:val="00DB0006"/>
    <w:rsid w:val="00DB1286"/>
    <w:rsid w:val="00DB1E05"/>
    <w:rsid w:val="00DB2139"/>
    <w:rsid w:val="00DB28CF"/>
    <w:rsid w:val="00DB3345"/>
    <w:rsid w:val="00DB3B52"/>
    <w:rsid w:val="00DB43E1"/>
    <w:rsid w:val="00DB45E2"/>
    <w:rsid w:val="00DB4A94"/>
    <w:rsid w:val="00DB4EF8"/>
    <w:rsid w:val="00DB613D"/>
    <w:rsid w:val="00DC06D6"/>
    <w:rsid w:val="00DC07CE"/>
    <w:rsid w:val="00DC1406"/>
    <w:rsid w:val="00DC2EBF"/>
    <w:rsid w:val="00DC3559"/>
    <w:rsid w:val="00DC37BE"/>
    <w:rsid w:val="00DC44CA"/>
    <w:rsid w:val="00DC4ADE"/>
    <w:rsid w:val="00DC4D49"/>
    <w:rsid w:val="00DC5832"/>
    <w:rsid w:val="00DC6608"/>
    <w:rsid w:val="00DC772E"/>
    <w:rsid w:val="00DD13AC"/>
    <w:rsid w:val="00DD1A63"/>
    <w:rsid w:val="00DD1B53"/>
    <w:rsid w:val="00DD1CCA"/>
    <w:rsid w:val="00DD1D49"/>
    <w:rsid w:val="00DD1E2C"/>
    <w:rsid w:val="00DD2538"/>
    <w:rsid w:val="00DD2847"/>
    <w:rsid w:val="00DD3C4C"/>
    <w:rsid w:val="00DD3E2D"/>
    <w:rsid w:val="00DD4C5C"/>
    <w:rsid w:val="00DD5004"/>
    <w:rsid w:val="00DD51C9"/>
    <w:rsid w:val="00DD5981"/>
    <w:rsid w:val="00DD5AAE"/>
    <w:rsid w:val="00DD5B6F"/>
    <w:rsid w:val="00DD60F3"/>
    <w:rsid w:val="00DD63A2"/>
    <w:rsid w:val="00DD6C8E"/>
    <w:rsid w:val="00DD7AC4"/>
    <w:rsid w:val="00DD7F5A"/>
    <w:rsid w:val="00DE085D"/>
    <w:rsid w:val="00DE0A29"/>
    <w:rsid w:val="00DE1C28"/>
    <w:rsid w:val="00DE36F8"/>
    <w:rsid w:val="00DE402C"/>
    <w:rsid w:val="00DE5354"/>
    <w:rsid w:val="00DE6964"/>
    <w:rsid w:val="00DE6B7A"/>
    <w:rsid w:val="00DE768E"/>
    <w:rsid w:val="00DF0AC1"/>
    <w:rsid w:val="00DF0D29"/>
    <w:rsid w:val="00DF194F"/>
    <w:rsid w:val="00DF1C07"/>
    <w:rsid w:val="00DF1D77"/>
    <w:rsid w:val="00DF2499"/>
    <w:rsid w:val="00DF2855"/>
    <w:rsid w:val="00DF2CC0"/>
    <w:rsid w:val="00DF41DF"/>
    <w:rsid w:val="00DF483C"/>
    <w:rsid w:val="00DF710F"/>
    <w:rsid w:val="00DF7907"/>
    <w:rsid w:val="00E020AF"/>
    <w:rsid w:val="00E020D5"/>
    <w:rsid w:val="00E04916"/>
    <w:rsid w:val="00E050F5"/>
    <w:rsid w:val="00E06354"/>
    <w:rsid w:val="00E06E0A"/>
    <w:rsid w:val="00E07233"/>
    <w:rsid w:val="00E0748B"/>
    <w:rsid w:val="00E0778B"/>
    <w:rsid w:val="00E10359"/>
    <w:rsid w:val="00E103E6"/>
    <w:rsid w:val="00E10785"/>
    <w:rsid w:val="00E11ABF"/>
    <w:rsid w:val="00E120CF"/>
    <w:rsid w:val="00E12316"/>
    <w:rsid w:val="00E133B9"/>
    <w:rsid w:val="00E1381D"/>
    <w:rsid w:val="00E1422C"/>
    <w:rsid w:val="00E14812"/>
    <w:rsid w:val="00E15DD9"/>
    <w:rsid w:val="00E1691E"/>
    <w:rsid w:val="00E169EB"/>
    <w:rsid w:val="00E1703E"/>
    <w:rsid w:val="00E17659"/>
    <w:rsid w:val="00E179D5"/>
    <w:rsid w:val="00E17F2F"/>
    <w:rsid w:val="00E17F9B"/>
    <w:rsid w:val="00E208C1"/>
    <w:rsid w:val="00E20E6F"/>
    <w:rsid w:val="00E21146"/>
    <w:rsid w:val="00E21561"/>
    <w:rsid w:val="00E2345D"/>
    <w:rsid w:val="00E236F9"/>
    <w:rsid w:val="00E24D96"/>
    <w:rsid w:val="00E2620A"/>
    <w:rsid w:val="00E26FAE"/>
    <w:rsid w:val="00E27145"/>
    <w:rsid w:val="00E2741D"/>
    <w:rsid w:val="00E279CD"/>
    <w:rsid w:val="00E27E24"/>
    <w:rsid w:val="00E3081E"/>
    <w:rsid w:val="00E311D8"/>
    <w:rsid w:val="00E315E9"/>
    <w:rsid w:val="00E31B31"/>
    <w:rsid w:val="00E356F9"/>
    <w:rsid w:val="00E359A5"/>
    <w:rsid w:val="00E35E1D"/>
    <w:rsid w:val="00E369CE"/>
    <w:rsid w:val="00E37214"/>
    <w:rsid w:val="00E3794C"/>
    <w:rsid w:val="00E37C4A"/>
    <w:rsid w:val="00E37F31"/>
    <w:rsid w:val="00E41B78"/>
    <w:rsid w:val="00E42107"/>
    <w:rsid w:val="00E4378E"/>
    <w:rsid w:val="00E43818"/>
    <w:rsid w:val="00E45492"/>
    <w:rsid w:val="00E45B77"/>
    <w:rsid w:val="00E4723B"/>
    <w:rsid w:val="00E473CC"/>
    <w:rsid w:val="00E509C8"/>
    <w:rsid w:val="00E516D8"/>
    <w:rsid w:val="00E51A7C"/>
    <w:rsid w:val="00E51CC0"/>
    <w:rsid w:val="00E545CB"/>
    <w:rsid w:val="00E55D18"/>
    <w:rsid w:val="00E564B5"/>
    <w:rsid w:val="00E5793E"/>
    <w:rsid w:val="00E57AC7"/>
    <w:rsid w:val="00E60A37"/>
    <w:rsid w:val="00E61EB6"/>
    <w:rsid w:val="00E61FEB"/>
    <w:rsid w:val="00E6212A"/>
    <w:rsid w:val="00E62936"/>
    <w:rsid w:val="00E63351"/>
    <w:rsid w:val="00E645EF"/>
    <w:rsid w:val="00E64B9A"/>
    <w:rsid w:val="00E64BE0"/>
    <w:rsid w:val="00E6538D"/>
    <w:rsid w:val="00E65740"/>
    <w:rsid w:val="00E66410"/>
    <w:rsid w:val="00E6643C"/>
    <w:rsid w:val="00E66ECB"/>
    <w:rsid w:val="00E66F91"/>
    <w:rsid w:val="00E670B1"/>
    <w:rsid w:val="00E67178"/>
    <w:rsid w:val="00E67B48"/>
    <w:rsid w:val="00E67CCC"/>
    <w:rsid w:val="00E70A80"/>
    <w:rsid w:val="00E7122F"/>
    <w:rsid w:val="00E71E48"/>
    <w:rsid w:val="00E72E7A"/>
    <w:rsid w:val="00E7448E"/>
    <w:rsid w:val="00E744A8"/>
    <w:rsid w:val="00E76136"/>
    <w:rsid w:val="00E76308"/>
    <w:rsid w:val="00E7650A"/>
    <w:rsid w:val="00E7756E"/>
    <w:rsid w:val="00E80348"/>
    <w:rsid w:val="00E826B8"/>
    <w:rsid w:val="00E83DCC"/>
    <w:rsid w:val="00E84598"/>
    <w:rsid w:val="00E84E82"/>
    <w:rsid w:val="00E8574F"/>
    <w:rsid w:val="00E85E37"/>
    <w:rsid w:val="00E87BC6"/>
    <w:rsid w:val="00E87C7A"/>
    <w:rsid w:val="00E87E41"/>
    <w:rsid w:val="00E90D0B"/>
    <w:rsid w:val="00E91544"/>
    <w:rsid w:val="00E9171A"/>
    <w:rsid w:val="00E92370"/>
    <w:rsid w:val="00E929E5"/>
    <w:rsid w:val="00E93218"/>
    <w:rsid w:val="00E93F77"/>
    <w:rsid w:val="00E94ACA"/>
    <w:rsid w:val="00E94DEA"/>
    <w:rsid w:val="00E95B02"/>
    <w:rsid w:val="00E96441"/>
    <w:rsid w:val="00E96706"/>
    <w:rsid w:val="00E969CC"/>
    <w:rsid w:val="00E972AF"/>
    <w:rsid w:val="00EA034B"/>
    <w:rsid w:val="00EA074F"/>
    <w:rsid w:val="00EA0DD4"/>
    <w:rsid w:val="00EA16BE"/>
    <w:rsid w:val="00EA227F"/>
    <w:rsid w:val="00EA3706"/>
    <w:rsid w:val="00EA45C1"/>
    <w:rsid w:val="00EA4C5E"/>
    <w:rsid w:val="00EA4C68"/>
    <w:rsid w:val="00EA6141"/>
    <w:rsid w:val="00EA6241"/>
    <w:rsid w:val="00EA6907"/>
    <w:rsid w:val="00EA7872"/>
    <w:rsid w:val="00EA7B17"/>
    <w:rsid w:val="00EA7B91"/>
    <w:rsid w:val="00EA7C21"/>
    <w:rsid w:val="00EB134F"/>
    <w:rsid w:val="00EB3C89"/>
    <w:rsid w:val="00EB3D73"/>
    <w:rsid w:val="00EB4165"/>
    <w:rsid w:val="00EB54E2"/>
    <w:rsid w:val="00EB6026"/>
    <w:rsid w:val="00EB663C"/>
    <w:rsid w:val="00EC0100"/>
    <w:rsid w:val="00EC1C92"/>
    <w:rsid w:val="00EC2767"/>
    <w:rsid w:val="00EC305D"/>
    <w:rsid w:val="00EC39D7"/>
    <w:rsid w:val="00EC635C"/>
    <w:rsid w:val="00EC66A1"/>
    <w:rsid w:val="00EC68EE"/>
    <w:rsid w:val="00EC697D"/>
    <w:rsid w:val="00EC7F99"/>
    <w:rsid w:val="00ED0982"/>
    <w:rsid w:val="00ED120D"/>
    <w:rsid w:val="00ED213F"/>
    <w:rsid w:val="00ED3311"/>
    <w:rsid w:val="00ED445B"/>
    <w:rsid w:val="00ED4BFA"/>
    <w:rsid w:val="00ED4D1C"/>
    <w:rsid w:val="00ED70C6"/>
    <w:rsid w:val="00EE2334"/>
    <w:rsid w:val="00EE3F13"/>
    <w:rsid w:val="00EE538B"/>
    <w:rsid w:val="00EE5736"/>
    <w:rsid w:val="00EE5B6D"/>
    <w:rsid w:val="00EE5E8C"/>
    <w:rsid w:val="00EE6066"/>
    <w:rsid w:val="00EE6C0D"/>
    <w:rsid w:val="00EE70CF"/>
    <w:rsid w:val="00EF10F7"/>
    <w:rsid w:val="00EF1303"/>
    <w:rsid w:val="00EF3CB4"/>
    <w:rsid w:val="00EF4D54"/>
    <w:rsid w:val="00EF4FC3"/>
    <w:rsid w:val="00EF68F3"/>
    <w:rsid w:val="00EF6A24"/>
    <w:rsid w:val="00EF6B6B"/>
    <w:rsid w:val="00EF6B74"/>
    <w:rsid w:val="00EF7B17"/>
    <w:rsid w:val="00EF7BEF"/>
    <w:rsid w:val="00EF7C8A"/>
    <w:rsid w:val="00F00723"/>
    <w:rsid w:val="00F0215D"/>
    <w:rsid w:val="00F03A60"/>
    <w:rsid w:val="00F0500C"/>
    <w:rsid w:val="00F05DED"/>
    <w:rsid w:val="00F06984"/>
    <w:rsid w:val="00F07A4C"/>
    <w:rsid w:val="00F114A4"/>
    <w:rsid w:val="00F11E98"/>
    <w:rsid w:val="00F134C5"/>
    <w:rsid w:val="00F135B1"/>
    <w:rsid w:val="00F13A6B"/>
    <w:rsid w:val="00F13FA2"/>
    <w:rsid w:val="00F14E49"/>
    <w:rsid w:val="00F153CB"/>
    <w:rsid w:val="00F157BE"/>
    <w:rsid w:val="00F2078A"/>
    <w:rsid w:val="00F20852"/>
    <w:rsid w:val="00F208D5"/>
    <w:rsid w:val="00F21137"/>
    <w:rsid w:val="00F227C2"/>
    <w:rsid w:val="00F23D19"/>
    <w:rsid w:val="00F2440B"/>
    <w:rsid w:val="00F25ED8"/>
    <w:rsid w:val="00F26FD9"/>
    <w:rsid w:val="00F272E0"/>
    <w:rsid w:val="00F277AC"/>
    <w:rsid w:val="00F27E7C"/>
    <w:rsid w:val="00F30474"/>
    <w:rsid w:val="00F32861"/>
    <w:rsid w:val="00F32BF8"/>
    <w:rsid w:val="00F32C97"/>
    <w:rsid w:val="00F3464A"/>
    <w:rsid w:val="00F35058"/>
    <w:rsid w:val="00F3632A"/>
    <w:rsid w:val="00F36DE0"/>
    <w:rsid w:val="00F3766D"/>
    <w:rsid w:val="00F40120"/>
    <w:rsid w:val="00F428AA"/>
    <w:rsid w:val="00F438CC"/>
    <w:rsid w:val="00F44021"/>
    <w:rsid w:val="00F457D0"/>
    <w:rsid w:val="00F46D6B"/>
    <w:rsid w:val="00F47676"/>
    <w:rsid w:val="00F47E9B"/>
    <w:rsid w:val="00F5055F"/>
    <w:rsid w:val="00F5071F"/>
    <w:rsid w:val="00F50F0A"/>
    <w:rsid w:val="00F51063"/>
    <w:rsid w:val="00F51FF8"/>
    <w:rsid w:val="00F52867"/>
    <w:rsid w:val="00F52B4A"/>
    <w:rsid w:val="00F52C8E"/>
    <w:rsid w:val="00F54978"/>
    <w:rsid w:val="00F556B8"/>
    <w:rsid w:val="00F56019"/>
    <w:rsid w:val="00F563E1"/>
    <w:rsid w:val="00F60DEF"/>
    <w:rsid w:val="00F61990"/>
    <w:rsid w:val="00F61D81"/>
    <w:rsid w:val="00F62406"/>
    <w:rsid w:val="00F6293E"/>
    <w:rsid w:val="00F62D49"/>
    <w:rsid w:val="00F66C5E"/>
    <w:rsid w:val="00F66CE3"/>
    <w:rsid w:val="00F66CFE"/>
    <w:rsid w:val="00F670F7"/>
    <w:rsid w:val="00F6760B"/>
    <w:rsid w:val="00F67742"/>
    <w:rsid w:val="00F70831"/>
    <w:rsid w:val="00F71291"/>
    <w:rsid w:val="00F71D84"/>
    <w:rsid w:val="00F72935"/>
    <w:rsid w:val="00F72B73"/>
    <w:rsid w:val="00F72E3E"/>
    <w:rsid w:val="00F735EF"/>
    <w:rsid w:val="00F7377F"/>
    <w:rsid w:val="00F73B2E"/>
    <w:rsid w:val="00F73E22"/>
    <w:rsid w:val="00F74197"/>
    <w:rsid w:val="00F74C7A"/>
    <w:rsid w:val="00F761D0"/>
    <w:rsid w:val="00F7668F"/>
    <w:rsid w:val="00F76D1F"/>
    <w:rsid w:val="00F775B0"/>
    <w:rsid w:val="00F77F41"/>
    <w:rsid w:val="00F810CE"/>
    <w:rsid w:val="00F83A29"/>
    <w:rsid w:val="00F8497E"/>
    <w:rsid w:val="00F84D88"/>
    <w:rsid w:val="00F851CC"/>
    <w:rsid w:val="00F8536F"/>
    <w:rsid w:val="00F85480"/>
    <w:rsid w:val="00F8604D"/>
    <w:rsid w:val="00F8609E"/>
    <w:rsid w:val="00F879B9"/>
    <w:rsid w:val="00F87BF9"/>
    <w:rsid w:val="00F90287"/>
    <w:rsid w:val="00F908D9"/>
    <w:rsid w:val="00F9130B"/>
    <w:rsid w:val="00F91535"/>
    <w:rsid w:val="00F91B3A"/>
    <w:rsid w:val="00F921DC"/>
    <w:rsid w:val="00F93A03"/>
    <w:rsid w:val="00F952A4"/>
    <w:rsid w:val="00F957EB"/>
    <w:rsid w:val="00F95F28"/>
    <w:rsid w:val="00F9781D"/>
    <w:rsid w:val="00F9790B"/>
    <w:rsid w:val="00FA09E5"/>
    <w:rsid w:val="00FA2E4A"/>
    <w:rsid w:val="00FA34AF"/>
    <w:rsid w:val="00FA6ED0"/>
    <w:rsid w:val="00FA7692"/>
    <w:rsid w:val="00FB00A9"/>
    <w:rsid w:val="00FB0785"/>
    <w:rsid w:val="00FB0C2B"/>
    <w:rsid w:val="00FB0FF5"/>
    <w:rsid w:val="00FB1339"/>
    <w:rsid w:val="00FB18BF"/>
    <w:rsid w:val="00FB18F0"/>
    <w:rsid w:val="00FB2872"/>
    <w:rsid w:val="00FB2FF4"/>
    <w:rsid w:val="00FB3F1A"/>
    <w:rsid w:val="00FB4E5B"/>
    <w:rsid w:val="00FB58EC"/>
    <w:rsid w:val="00FB6732"/>
    <w:rsid w:val="00FB70A3"/>
    <w:rsid w:val="00FB71E9"/>
    <w:rsid w:val="00FB743E"/>
    <w:rsid w:val="00FB74DC"/>
    <w:rsid w:val="00FB7684"/>
    <w:rsid w:val="00FB7D5D"/>
    <w:rsid w:val="00FB7E1B"/>
    <w:rsid w:val="00FC023D"/>
    <w:rsid w:val="00FC11DC"/>
    <w:rsid w:val="00FC567E"/>
    <w:rsid w:val="00FC6730"/>
    <w:rsid w:val="00FC6C74"/>
    <w:rsid w:val="00FC7111"/>
    <w:rsid w:val="00FC722E"/>
    <w:rsid w:val="00FD06B5"/>
    <w:rsid w:val="00FD07A4"/>
    <w:rsid w:val="00FD09F8"/>
    <w:rsid w:val="00FD1ADA"/>
    <w:rsid w:val="00FD1EF8"/>
    <w:rsid w:val="00FD1FDA"/>
    <w:rsid w:val="00FD2231"/>
    <w:rsid w:val="00FD23B0"/>
    <w:rsid w:val="00FD315F"/>
    <w:rsid w:val="00FD50FD"/>
    <w:rsid w:val="00FD52CC"/>
    <w:rsid w:val="00FD591B"/>
    <w:rsid w:val="00FD5B41"/>
    <w:rsid w:val="00FD6696"/>
    <w:rsid w:val="00FD6823"/>
    <w:rsid w:val="00FD6D67"/>
    <w:rsid w:val="00FE0315"/>
    <w:rsid w:val="00FE15DD"/>
    <w:rsid w:val="00FE31BF"/>
    <w:rsid w:val="00FE509F"/>
    <w:rsid w:val="00FE6BBD"/>
    <w:rsid w:val="00FE721F"/>
    <w:rsid w:val="00FF0A76"/>
    <w:rsid w:val="00FF0D19"/>
    <w:rsid w:val="00FF0E29"/>
    <w:rsid w:val="00FF21EE"/>
    <w:rsid w:val="00FF301E"/>
    <w:rsid w:val="00FF3317"/>
    <w:rsid w:val="00FF3952"/>
    <w:rsid w:val="00FF3B92"/>
    <w:rsid w:val="00FF3C42"/>
    <w:rsid w:val="00FF3E62"/>
    <w:rsid w:val="00FF4011"/>
    <w:rsid w:val="00FF4237"/>
    <w:rsid w:val="00FF471E"/>
    <w:rsid w:val="00FF4B77"/>
    <w:rsid w:val="00FF51F8"/>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A5C9A"/>
  <w15:docId w15:val="{1EAE921F-8560-4147-8AB8-1CD55A68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559F"/>
    <w:rPr>
      <w:lang w:val="en-US"/>
    </w:rPr>
  </w:style>
  <w:style w:type="paragraph" w:styleId="Heading1">
    <w:name w:val="heading 1"/>
    <w:basedOn w:val="Normal"/>
    <w:next w:val="Normal"/>
    <w:link w:val="Heading1Char"/>
    <w:uiPriority w:val="9"/>
    <w:rsid w:val="000E6A1E"/>
    <w:pPr>
      <w:keepNext/>
      <w:keepLines/>
      <w:spacing w:before="480" w:after="0"/>
      <w:outlineLvl w:val="0"/>
    </w:pPr>
    <w:rPr>
      <w:rFonts w:asciiTheme="majorHAnsi" w:eastAsiaTheme="majorEastAsia" w:hAnsiTheme="majorHAnsi" w:cstheme="majorBidi"/>
      <w:b/>
      <w:bCs/>
      <w:color w:val="C61F16" w:themeColor="accent1" w:themeShade="BF"/>
      <w:sz w:val="28"/>
      <w:szCs w:val="28"/>
      <w:lang w:val="en-AU"/>
    </w:rPr>
  </w:style>
  <w:style w:type="paragraph" w:styleId="Heading2">
    <w:name w:val="heading 2"/>
    <w:basedOn w:val="Normal"/>
    <w:next w:val="Normal"/>
    <w:link w:val="Heading2Char"/>
    <w:uiPriority w:val="9"/>
    <w:semiHidden/>
    <w:unhideWhenUsed/>
    <w:rsid w:val="000E6A1E"/>
    <w:pPr>
      <w:keepNext/>
      <w:keepLines/>
      <w:spacing w:before="200" w:after="0"/>
      <w:outlineLvl w:val="1"/>
    </w:pPr>
    <w:rPr>
      <w:rFonts w:asciiTheme="majorHAnsi" w:eastAsiaTheme="majorEastAsia" w:hAnsiTheme="majorHAnsi" w:cstheme="majorBidi"/>
      <w:b/>
      <w:bCs/>
      <w:color w:val="E9473F" w:themeColor="accent1"/>
      <w:sz w:val="26"/>
      <w:szCs w:val="26"/>
      <w:lang w:val="en-AU"/>
    </w:rPr>
  </w:style>
  <w:style w:type="paragraph" w:styleId="Heading3">
    <w:name w:val="heading 3"/>
    <w:basedOn w:val="Normal"/>
    <w:next w:val="Normal"/>
    <w:link w:val="Heading3Char"/>
    <w:uiPriority w:val="9"/>
    <w:semiHidden/>
    <w:unhideWhenUsed/>
    <w:qFormat/>
    <w:rsid w:val="000E6A1E"/>
    <w:pPr>
      <w:keepNext/>
      <w:keepLines/>
      <w:spacing w:before="200" w:after="0"/>
      <w:outlineLvl w:val="2"/>
    </w:pPr>
    <w:rPr>
      <w:rFonts w:asciiTheme="majorHAnsi" w:eastAsiaTheme="majorEastAsia" w:hAnsiTheme="majorHAnsi" w:cstheme="majorBidi"/>
      <w:b/>
      <w:bCs/>
      <w:color w:val="E9473F" w:themeColor="accent1"/>
      <w:lang w:val="en-AU"/>
    </w:rPr>
  </w:style>
  <w:style w:type="paragraph" w:styleId="Heading4">
    <w:name w:val="heading 4"/>
    <w:basedOn w:val="Normal"/>
    <w:next w:val="Normal"/>
    <w:link w:val="Heading4Char"/>
    <w:uiPriority w:val="9"/>
    <w:semiHidden/>
    <w:unhideWhenUsed/>
    <w:qFormat/>
    <w:rsid w:val="00AD1F00"/>
    <w:pPr>
      <w:keepNext/>
      <w:keepLines/>
      <w:spacing w:before="40" w:after="0"/>
      <w:outlineLvl w:val="3"/>
    </w:pPr>
    <w:rPr>
      <w:rFonts w:asciiTheme="majorHAnsi" w:eastAsiaTheme="majorEastAsia" w:hAnsiTheme="majorHAnsi" w:cstheme="majorBidi"/>
      <w:i/>
      <w:iCs/>
      <w:color w:val="C61F1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4D527A"/>
    <w:rPr>
      <w:i/>
      <w:iCs/>
      <w:color w:val="AC8BD3" w:themeColor="text1" w:themeTint="7F"/>
    </w:rPr>
  </w:style>
  <w:style w:type="paragraph" w:customStyle="1" w:styleId="Title-Black">
    <w:name w:val="Title-Black"/>
    <w:basedOn w:val="Title"/>
    <w:link w:val="Title-BlackChar"/>
    <w:qFormat/>
    <w:rsid w:val="00CA01B2"/>
    <w:pPr>
      <w:pBdr>
        <w:bottom w:val="none" w:sz="0" w:space="0" w:color="auto"/>
      </w:pBdr>
      <w:spacing w:after="0"/>
    </w:pPr>
    <w:rPr>
      <w:rFonts w:ascii="Arial" w:hAnsi="Arial" w:cs="Arial"/>
      <w:b/>
      <w:color w:val="000000"/>
      <w:sz w:val="48"/>
      <w:szCs w:val="72"/>
    </w:rPr>
  </w:style>
  <w:style w:type="paragraph" w:customStyle="1" w:styleId="Heading-Black">
    <w:name w:val="Heading-Black"/>
    <w:basedOn w:val="Heading1"/>
    <w:link w:val="Heading-BlackChar"/>
    <w:qFormat/>
    <w:rsid w:val="00CA01B2"/>
    <w:pPr>
      <w:spacing w:before="0" w:line="240" w:lineRule="auto"/>
    </w:pPr>
    <w:rPr>
      <w:rFonts w:ascii="Arial" w:hAnsi="Arial" w:cs="Arial"/>
      <w:color w:val="auto"/>
      <w:sz w:val="32"/>
    </w:rPr>
  </w:style>
  <w:style w:type="character" w:customStyle="1" w:styleId="Title-BlackChar">
    <w:name w:val="Title-Black Char"/>
    <w:basedOn w:val="DefaultParagraphFont"/>
    <w:link w:val="Title-Black"/>
    <w:rsid w:val="00CA01B2"/>
    <w:rPr>
      <w:rFonts w:ascii="Arial" w:eastAsiaTheme="majorEastAsia" w:hAnsi="Arial" w:cs="Arial"/>
      <w:b/>
      <w:color w:val="000000"/>
      <w:spacing w:val="5"/>
      <w:kern w:val="28"/>
      <w:sz w:val="48"/>
      <w:szCs w:val="72"/>
    </w:rPr>
  </w:style>
  <w:style w:type="paragraph" w:customStyle="1" w:styleId="Sub-Heading1-Black">
    <w:name w:val="Sub-Heading 1-Black"/>
    <w:basedOn w:val="Heading2"/>
    <w:link w:val="Sub-Heading1-BlackChar"/>
    <w:qFormat/>
    <w:rsid w:val="000E6A1E"/>
    <w:pPr>
      <w:spacing w:before="0" w:line="240" w:lineRule="auto"/>
    </w:pPr>
    <w:rPr>
      <w:rFonts w:ascii="Arial" w:hAnsi="Arial" w:cs="Arial"/>
      <w:color w:val="auto"/>
      <w:sz w:val="28"/>
    </w:rPr>
  </w:style>
  <w:style w:type="character" w:customStyle="1" w:styleId="Heading-BlackChar">
    <w:name w:val="Heading-Black Char"/>
    <w:basedOn w:val="DefaultParagraphFont"/>
    <w:link w:val="Heading-Black"/>
    <w:rsid w:val="00CA01B2"/>
    <w:rPr>
      <w:rFonts w:ascii="Arial" w:eastAsiaTheme="majorEastAsia" w:hAnsi="Arial" w:cs="Arial"/>
      <w:b/>
      <w:bCs/>
      <w:sz w:val="32"/>
      <w:szCs w:val="28"/>
    </w:rPr>
  </w:style>
  <w:style w:type="paragraph" w:customStyle="1" w:styleId="Sub-Heading2-Black">
    <w:name w:val="Sub-Heading 2-Black"/>
    <w:basedOn w:val="Heading3"/>
    <w:link w:val="Sub-Heading2-BlackChar"/>
    <w:qFormat/>
    <w:rsid w:val="000E6A1E"/>
    <w:pPr>
      <w:spacing w:before="0" w:line="240" w:lineRule="auto"/>
    </w:pPr>
    <w:rPr>
      <w:rFonts w:ascii="Arial" w:hAnsi="Arial" w:cs="Arial"/>
      <w:b w:val="0"/>
      <w:color w:val="auto"/>
      <w:sz w:val="24"/>
    </w:rPr>
  </w:style>
  <w:style w:type="character" w:customStyle="1" w:styleId="Sub-Heading1-BlackChar">
    <w:name w:val="Sub-Heading 1-Black Char"/>
    <w:basedOn w:val="DefaultParagraphFont"/>
    <w:link w:val="Sub-Heading1-Black"/>
    <w:rsid w:val="000E6A1E"/>
    <w:rPr>
      <w:rFonts w:ascii="Arial" w:eastAsiaTheme="majorEastAsia" w:hAnsi="Arial" w:cs="Arial"/>
      <w:b/>
      <w:bCs/>
      <w:sz w:val="28"/>
      <w:szCs w:val="26"/>
    </w:rPr>
  </w:style>
  <w:style w:type="paragraph" w:customStyle="1" w:styleId="Body-Black">
    <w:name w:val="Body-Black"/>
    <w:basedOn w:val="BlockText"/>
    <w:link w:val="Body-BlackChar"/>
    <w:qFormat/>
    <w:rsid w:val="005A142A"/>
    <w:pPr>
      <w:pBdr>
        <w:top w:val="none" w:sz="0" w:space="0" w:color="auto"/>
        <w:left w:val="none" w:sz="0" w:space="0" w:color="auto"/>
        <w:bottom w:val="none" w:sz="0" w:space="0" w:color="auto"/>
        <w:right w:val="none" w:sz="0" w:space="0" w:color="auto"/>
      </w:pBdr>
      <w:spacing w:after="240"/>
      <w:ind w:left="0" w:right="0"/>
      <w:jc w:val="both"/>
    </w:pPr>
    <w:rPr>
      <w:rFonts w:ascii="Arial" w:hAnsi="Arial" w:cs="Arial"/>
      <w:i w:val="0"/>
      <w:color w:val="auto"/>
      <w:sz w:val="20"/>
    </w:rPr>
  </w:style>
  <w:style w:type="character" w:customStyle="1" w:styleId="Sub-Heading2-BlackChar">
    <w:name w:val="Sub-Heading 2-Black Char"/>
    <w:basedOn w:val="DefaultParagraphFont"/>
    <w:link w:val="Sub-Heading2-Black"/>
    <w:rsid w:val="000E6A1E"/>
    <w:rPr>
      <w:rFonts w:ascii="Arial" w:eastAsiaTheme="majorEastAsia" w:hAnsi="Arial" w:cs="Arial"/>
      <w:bCs/>
      <w:sz w:val="24"/>
    </w:rPr>
  </w:style>
  <w:style w:type="character" w:customStyle="1" w:styleId="Body-BlackChar">
    <w:name w:val="Body-Black Char"/>
    <w:basedOn w:val="DefaultParagraphFont"/>
    <w:link w:val="Body-Black"/>
    <w:rsid w:val="005A142A"/>
    <w:rPr>
      <w:rFonts w:ascii="Arial" w:eastAsiaTheme="minorEastAsia" w:hAnsi="Arial" w:cs="Arial"/>
      <w:iCs/>
      <w:sz w:val="20"/>
    </w:rPr>
  </w:style>
  <w:style w:type="paragraph" w:customStyle="1" w:styleId="Title-White">
    <w:name w:val="Title-White"/>
    <w:basedOn w:val="Title-Black"/>
    <w:link w:val="Title-WhiteChar"/>
    <w:qFormat/>
    <w:rsid w:val="003C4CED"/>
    <w:rPr>
      <w:color w:val="D8D2C4" w:themeColor="background1"/>
    </w:rPr>
  </w:style>
  <w:style w:type="paragraph" w:customStyle="1" w:styleId="Heading-White">
    <w:name w:val="Heading-White"/>
    <w:basedOn w:val="Heading-Black"/>
    <w:link w:val="Heading-WhiteChar"/>
    <w:qFormat/>
    <w:rsid w:val="003C4CED"/>
    <w:rPr>
      <w:color w:val="D8D2C4" w:themeColor="background1"/>
    </w:rPr>
  </w:style>
  <w:style w:type="character" w:customStyle="1" w:styleId="Title-WhiteChar">
    <w:name w:val="Title-White Char"/>
    <w:basedOn w:val="Title-BlackChar"/>
    <w:link w:val="Title-White"/>
    <w:rsid w:val="003C4CED"/>
    <w:rPr>
      <w:rFonts w:ascii="Arial" w:eastAsiaTheme="majorEastAsia" w:hAnsi="Arial" w:cs="Arial"/>
      <w:b/>
      <w:color w:val="D8D2C4" w:themeColor="background1"/>
      <w:spacing w:val="5"/>
      <w:kern w:val="28"/>
      <w:sz w:val="48"/>
      <w:szCs w:val="72"/>
    </w:rPr>
  </w:style>
  <w:style w:type="paragraph" w:customStyle="1" w:styleId="Sub-Heading1-White">
    <w:name w:val="Sub-Heading 1-White"/>
    <w:basedOn w:val="Sub-Heading1-Black"/>
    <w:link w:val="Sub-Heading1-WhiteChar"/>
    <w:rsid w:val="00C74FC3"/>
  </w:style>
  <w:style w:type="character" w:customStyle="1" w:styleId="Heading-WhiteChar">
    <w:name w:val="Heading-White Char"/>
    <w:basedOn w:val="Heading-BlackChar"/>
    <w:link w:val="Heading-White"/>
    <w:rsid w:val="003C4CED"/>
    <w:rPr>
      <w:rFonts w:ascii="Arial" w:eastAsiaTheme="majorEastAsia" w:hAnsi="Arial" w:cs="Arial"/>
      <w:b/>
      <w:bCs/>
      <w:color w:val="D8D2C4" w:themeColor="background1"/>
      <w:sz w:val="32"/>
      <w:szCs w:val="28"/>
    </w:rPr>
  </w:style>
  <w:style w:type="paragraph" w:customStyle="1" w:styleId="Sub-Heading1-White0">
    <w:name w:val="Sub-Heading1-White"/>
    <w:basedOn w:val="Sub-Heading1-Black"/>
    <w:link w:val="Sub-Heading1-WhiteChar0"/>
    <w:qFormat/>
    <w:rsid w:val="003C4CED"/>
    <w:rPr>
      <w:color w:val="D8D2C4" w:themeColor="background1"/>
    </w:rPr>
  </w:style>
  <w:style w:type="character" w:customStyle="1" w:styleId="Sub-Heading1-WhiteChar">
    <w:name w:val="Sub-Heading 1-White Char"/>
    <w:basedOn w:val="Sub-Heading1-BlackChar"/>
    <w:link w:val="Sub-Heading1-White"/>
    <w:rsid w:val="00C74FC3"/>
    <w:rPr>
      <w:rFonts w:ascii="Arial" w:eastAsiaTheme="majorEastAsia" w:hAnsi="Arial" w:cs="Arial"/>
      <w:b/>
      <w:bCs/>
      <w:i w:val="0"/>
      <w:sz w:val="28"/>
      <w:szCs w:val="26"/>
    </w:rPr>
  </w:style>
  <w:style w:type="paragraph" w:customStyle="1" w:styleId="Sub-Heading2-White">
    <w:name w:val="Sub-Heading2-White"/>
    <w:basedOn w:val="Sub-Heading2-Black"/>
    <w:link w:val="Sub-Heading2-WhiteChar"/>
    <w:qFormat/>
    <w:rsid w:val="003C4CED"/>
    <w:rPr>
      <w:color w:val="D8D2C4" w:themeColor="background1"/>
    </w:rPr>
  </w:style>
  <w:style w:type="character" w:customStyle="1" w:styleId="Sub-Heading1-WhiteChar0">
    <w:name w:val="Sub-Heading1-White Char"/>
    <w:basedOn w:val="Sub-Heading1-WhiteChar"/>
    <w:link w:val="Sub-Heading1-White0"/>
    <w:rsid w:val="003C4CED"/>
    <w:rPr>
      <w:rFonts w:ascii="Arial" w:eastAsiaTheme="majorEastAsia" w:hAnsi="Arial" w:cs="Arial"/>
      <w:b/>
      <w:bCs/>
      <w:i w:val="0"/>
      <w:color w:val="D8D2C4" w:themeColor="background1"/>
      <w:sz w:val="28"/>
      <w:szCs w:val="26"/>
    </w:rPr>
  </w:style>
  <w:style w:type="paragraph" w:customStyle="1" w:styleId="Body-White">
    <w:name w:val="Body-White"/>
    <w:basedOn w:val="Body-Black"/>
    <w:link w:val="Body-WhiteChar"/>
    <w:qFormat/>
    <w:rsid w:val="003C4CED"/>
    <w:rPr>
      <w:color w:val="D8D2C4" w:themeColor="background1"/>
    </w:rPr>
  </w:style>
  <w:style w:type="character" w:customStyle="1" w:styleId="Sub-Heading2-WhiteChar">
    <w:name w:val="Sub-Heading2-White Char"/>
    <w:basedOn w:val="Sub-Heading2-BlackChar"/>
    <w:link w:val="Sub-Heading2-White"/>
    <w:rsid w:val="003C4CED"/>
    <w:rPr>
      <w:rFonts w:ascii="Arial" w:eastAsiaTheme="majorEastAsia" w:hAnsi="Arial" w:cs="Arial"/>
      <w:bCs/>
      <w:i w:val="0"/>
      <w:color w:val="D8D2C4" w:themeColor="background1"/>
      <w:sz w:val="24"/>
    </w:rPr>
  </w:style>
  <w:style w:type="paragraph" w:customStyle="1" w:styleId="Title-Purple">
    <w:name w:val="Title-Purple"/>
    <w:basedOn w:val="Title-Black"/>
    <w:link w:val="Title-PurpleChar"/>
    <w:qFormat/>
    <w:rsid w:val="003C4CED"/>
    <w:rPr>
      <w:color w:val="7030A0"/>
    </w:rPr>
  </w:style>
  <w:style w:type="character" w:customStyle="1" w:styleId="Body-WhiteChar">
    <w:name w:val="Body-White Char"/>
    <w:basedOn w:val="Body-BlackChar"/>
    <w:link w:val="Body-White"/>
    <w:rsid w:val="003C4CED"/>
    <w:rPr>
      <w:rFonts w:ascii="Arial" w:eastAsiaTheme="minorEastAsia" w:hAnsi="Arial" w:cs="Arial"/>
      <w:iCs/>
      <w:color w:val="D8D2C4" w:themeColor="background1"/>
      <w:sz w:val="20"/>
    </w:rPr>
  </w:style>
  <w:style w:type="paragraph" w:customStyle="1" w:styleId="Heading-Purple">
    <w:name w:val="Heading-Purple"/>
    <w:basedOn w:val="Heading-Black"/>
    <w:link w:val="Heading-PurpleChar"/>
    <w:qFormat/>
    <w:rsid w:val="00D61012"/>
    <w:rPr>
      <w:color w:val="7030A0"/>
      <w:sz w:val="28"/>
    </w:rPr>
  </w:style>
  <w:style w:type="character" w:customStyle="1" w:styleId="Title-PurpleChar">
    <w:name w:val="Title-Purple Char"/>
    <w:basedOn w:val="Title-WhiteChar"/>
    <w:link w:val="Title-Purple"/>
    <w:rsid w:val="003C4CED"/>
    <w:rPr>
      <w:rFonts w:ascii="Arial" w:eastAsiaTheme="majorEastAsia" w:hAnsi="Arial" w:cs="Arial"/>
      <w:b/>
      <w:color w:val="7030A0"/>
      <w:spacing w:val="5"/>
      <w:kern w:val="28"/>
      <w:sz w:val="48"/>
      <w:szCs w:val="72"/>
    </w:rPr>
  </w:style>
  <w:style w:type="paragraph" w:customStyle="1" w:styleId="Sub-Heading1-Purple">
    <w:name w:val="Sub-Heading 1-Purple"/>
    <w:basedOn w:val="Sub-Heading1-Black"/>
    <w:link w:val="Sub-Heading1-PurpleChar"/>
    <w:qFormat/>
    <w:rsid w:val="00D61012"/>
    <w:rPr>
      <w:color w:val="7030A0"/>
      <w:sz w:val="22"/>
    </w:rPr>
  </w:style>
  <w:style w:type="character" w:customStyle="1" w:styleId="Heading-PurpleChar">
    <w:name w:val="Heading-Purple Char"/>
    <w:basedOn w:val="Heading-WhiteChar"/>
    <w:link w:val="Heading-Purple"/>
    <w:rsid w:val="00D61012"/>
    <w:rPr>
      <w:rFonts w:ascii="Arial" w:eastAsiaTheme="majorEastAsia" w:hAnsi="Arial" w:cs="Arial"/>
      <w:b/>
      <w:bCs/>
      <w:color w:val="7030A0"/>
      <w:sz w:val="28"/>
      <w:szCs w:val="28"/>
    </w:rPr>
  </w:style>
  <w:style w:type="paragraph" w:customStyle="1" w:styleId="Sub-Heading2-Purple">
    <w:name w:val="Sub-Heading 2-Purple"/>
    <w:basedOn w:val="Sub-Heading2-Black"/>
    <w:link w:val="Sub-Heading2-PurpleChar"/>
    <w:qFormat/>
    <w:rsid w:val="00055723"/>
    <w:pPr>
      <w:spacing w:after="120"/>
    </w:pPr>
    <w:rPr>
      <w:i/>
      <w:color w:val="7030A0"/>
      <w:sz w:val="20"/>
    </w:rPr>
  </w:style>
  <w:style w:type="character" w:customStyle="1" w:styleId="Sub-Heading1-PurpleChar">
    <w:name w:val="Sub-Heading 1-Purple Char"/>
    <w:basedOn w:val="Sub-Heading1-WhiteChar0"/>
    <w:link w:val="Sub-Heading1-Purple"/>
    <w:rsid w:val="00D61012"/>
    <w:rPr>
      <w:rFonts w:ascii="Arial" w:eastAsiaTheme="majorEastAsia" w:hAnsi="Arial" w:cs="Arial"/>
      <w:b/>
      <w:bCs/>
      <w:i w:val="0"/>
      <w:color w:val="7030A0"/>
      <w:sz w:val="28"/>
      <w:szCs w:val="26"/>
    </w:rPr>
  </w:style>
  <w:style w:type="paragraph" w:customStyle="1" w:styleId="Body-Purple">
    <w:name w:val="Body-Purple"/>
    <w:basedOn w:val="Body-Black"/>
    <w:link w:val="Body-PurpleChar"/>
    <w:qFormat/>
    <w:rsid w:val="003C4CED"/>
    <w:rPr>
      <w:color w:val="7030A0"/>
    </w:rPr>
  </w:style>
  <w:style w:type="character" w:customStyle="1" w:styleId="Sub-Heading2-PurpleChar">
    <w:name w:val="Sub-Heading 2-Purple Char"/>
    <w:basedOn w:val="Sub-Heading2-WhiteChar"/>
    <w:link w:val="Sub-Heading2-Purple"/>
    <w:rsid w:val="00055723"/>
    <w:rPr>
      <w:rFonts w:ascii="Arial" w:eastAsiaTheme="majorEastAsia" w:hAnsi="Arial" w:cs="Arial"/>
      <w:bCs/>
      <w:i/>
      <w:color w:val="7030A0"/>
      <w:sz w:val="20"/>
    </w:rPr>
  </w:style>
  <w:style w:type="paragraph" w:customStyle="1" w:styleId="Title-Magenta">
    <w:name w:val="Title-Magenta"/>
    <w:basedOn w:val="Title-Black"/>
    <w:link w:val="Title-MagentaChar"/>
    <w:qFormat/>
    <w:rsid w:val="003C4CED"/>
    <w:rPr>
      <w:color w:val="E6007E"/>
    </w:rPr>
  </w:style>
  <w:style w:type="character" w:customStyle="1" w:styleId="Body-PurpleChar">
    <w:name w:val="Body-Purple Char"/>
    <w:basedOn w:val="Body-WhiteChar"/>
    <w:link w:val="Body-Purple"/>
    <w:rsid w:val="003C4CED"/>
    <w:rPr>
      <w:rFonts w:ascii="Arial" w:eastAsiaTheme="minorEastAsia" w:hAnsi="Arial" w:cs="Arial"/>
      <w:iCs/>
      <w:color w:val="7030A0"/>
      <w:sz w:val="20"/>
    </w:rPr>
  </w:style>
  <w:style w:type="paragraph" w:customStyle="1" w:styleId="Heading-Magenta">
    <w:name w:val="Heading-Magenta"/>
    <w:basedOn w:val="Heading-Black"/>
    <w:link w:val="Heading-MagentaChar"/>
    <w:qFormat/>
    <w:rsid w:val="003C4CED"/>
    <w:rPr>
      <w:color w:val="E6007E"/>
    </w:rPr>
  </w:style>
  <w:style w:type="character" w:customStyle="1" w:styleId="Title-MagentaChar">
    <w:name w:val="Title-Magenta Char"/>
    <w:basedOn w:val="Title-PurpleChar"/>
    <w:link w:val="Title-Magenta"/>
    <w:rsid w:val="003C4CED"/>
    <w:rPr>
      <w:rFonts w:ascii="Arial" w:eastAsiaTheme="majorEastAsia" w:hAnsi="Arial" w:cs="Arial"/>
      <w:b/>
      <w:color w:val="E6007E"/>
      <w:spacing w:val="5"/>
      <w:kern w:val="28"/>
      <w:sz w:val="48"/>
      <w:szCs w:val="72"/>
    </w:rPr>
  </w:style>
  <w:style w:type="paragraph" w:customStyle="1" w:styleId="Sub-Heading1-Magenta">
    <w:name w:val="Sub-Heading 1-Magenta"/>
    <w:basedOn w:val="Sub-Heading1-Black"/>
    <w:link w:val="Sub-Heading1-MagentaChar"/>
    <w:qFormat/>
    <w:rsid w:val="003C4CED"/>
    <w:rPr>
      <w:color w:val="E6007E"/>
    </w:rPr>
  </w:style>
  <w:style w:type="character" w:customStyle="1" w:styleId="Heading-MagentaChar">
    <w:name w:val="Heading-Magenta Char"/>
    <w:basedOn w:val="Heading-PurpleChar"/>
    <w:link w:val="Heading-Magenta"/>
    <w:rsid w:val="003C4CED"/>
    <w:rPr>
      <w:rFonts w:ascii="Arial" w:eastAsiaTheme="majorEastAsia" w:hAnsi="Arial" w:cs="Arial"/>
      <w:b/>
      <w:bCs/>
      <w:color w:val="E6007E"/>
      <w:sz w:val="32"/>
      <w:szCs w:val="28"/>
    </w:rPr>
  </w:style>
  <w:style w:type="paragraph" w:customStyle="1" w:styleId="Sub-Heading2-Magenta">
    <w:name w:val="Sub-Heading 2-Magenta"/>
    <w:basedOn w:val="Sub-Heading2-Black"/>
    <w:link w:val="Sub-Heading2-MagentaChar"/>
    <w:qFormat/>
    <w:rsid w:val="003C4CED"/>
    <w:rPr>
      <w:color w:val="E6007E"/>
    </w:rPr>
  </w:style>
  <w:style w:type="character" w:customStyle="1" w:styleId="Sub-Heading1-MagentaChar">
    <w:name w:val="Sub-Heading 1-Magenta Char"/>
    <w:basedOn w:val="Sub-Heading1-PurpleChar"/>
    <w:link w:val="Sub-Heading1-Magenta"/>
    <w:rsid w:val="003C4CED"/>
    <w:rPr>
      <w:rFonts w:ascii="Arial" w:eastAsiaTheme="majorEastAsia" w:hAnsi="Arial" w:cs="Arial"/>
      <w:b/>
      <w:bCs/>
      <w:i w:val="0"/>
      <w:color w:val="E6007E"/>
      <w:sz w:val="28"/>
      <w:szCs w:val="26"/>
    </w:rPr>
  </w:style>
  <w:style w:type="paragraph" w:customStyle="1" w:styleId="Body-Magenta">
    <w:name w:val="Body-Magenta"/>
    <w:basedOn w:val="Body-Black"/>
    <w:link w:val="Body-MagentaChar"/>
    <w:qFormat/>
    <w:rsid w:val="003C4CED"/>
    <w:rPr>
      <w:color w:val="E6007E"/>
    </w:rPr>
  </w:style>
  <w:style w:type="character" w:customStyle="1" w:styleId="Sub-Heading2-MagentaChar">
    <w:name w:val="Sub-Heading 2-Magenta Char"/>
    <w:basedOn w:val="Sub-Heading1-PurpleChar"/>
    <w:link w:val="Sub-Heading2-Magenta"/>
    <w:rsid w:val="003C4CED"/>
    <w:rPr>
      <w:rFonts w:ascii="Arial" w:eastAsiaTheme="majorEastAsia" w:hAnsi="Arial" w:cs="Arial"/>
      <w:b w:val="0"/>
      <w:bCs/>
      <w:i w:val="0"/>
      <w:color w:val="E6007E"/>
      <w:sz w:val="24"/>
      <w:szCs w:val="26"/>
    </w:rPr>
  </w:style>
  <w:style w:type="paragraph" w:customStyle="1" w:styleId="Title-WarmRed">
    <w:name w:val="Title-Warm Red"/>
    <w:basedOn w:val="Title-Black"/>
    <w:link w:val="Title-WarmRedChar"/>
    <w:qFormat/>
    <w:rsid w:val="003C4CED"/>
    <w:rPr>
      <w:color w:val="E9473F"/>
    </w:rPr>
  </w:style>
  <w:style w:type="character" w:customStyle="1" w:styleId="Body-MagentaChar">
    <w:name w:val="Body-Magenta Char"/>
    <w:basedOn w:val="Body-PurpleChar"/>
    <w:link w:val="Body-Magenta"/>
    <w:rsid w:val="003C4CED"/>
    <w:rPr>
      <w:rFonts w:ascii="Arial" w:eastAsiaTheme="minorEastAsia" w:hAnsi="Arial" w:cs="Arial"/>
      <w:iCs/>
      <w:color w:val="E6007E"/>
      <w:sz w:val="20"/>
    </w:rPr>
  </w:style>
  <w:style w:type="paragraph" w:customStyle="1" w:styleId="Heading-WarmRed">
    <w:name w:val="Heading-Warm Red"/>
    <w:basedOn w:val="Heading-Black"/>
    <w:link w:val="Heading-WarmRedChar"/>
    <w:qFormat/>
    <w:rsid w:val="003C4CED"/>
    <w:rPr>
      <w:color w:val="E9473F"/>
    </w:rPr>
  </w:style>
  <w:style w:type="character" w:customStyle="1" w:styleId="Title-WarmRedChar">
    <w:name w:val="Title-Warm Red Char"/>
    <w:basedOn w:val="Title-MagentaChar"/>
    <w:link w:val="Title-WarmRed"/>
    <w:rsid w:val="003C4CED"/>
    <w:rPr>
      <w:rFonts w:ascii="Arial" w:eastAsiaTheme="majorEastAsia" w:hAnsi="Arial" w:cs="Arial"/>
      <w:b/>
      <w:color w:val="E9473F"/>
      <w:spacing w:val="5"/>
      <w:kern w:val="28"/>
      <w:sz w:val="48"/>
      <w:szCs w:val="72"/>
    </w:rPr>
  </w:style>
  <w:style w:type="paragraph" w:customStyle="1" w:styleId="Sub-Heading1-WarmRed">
    <w:name w:val="Sub-Heading 1-Warm Red"/>
    <w:basedOn w:val="Sub-Heading1-Black"/>
    <w:link w:val="Sub-Heading1-WarmRedChar"/>
    <w:qFormat/>
    <w:rsid w:val="003C4CED"/>
    <w:rPr>
      <w:color w:val="E9473F"/>
    </w:rPr>
  </w:style>
  <w:style w:type="character" w:customStyle="1" w:styleId="Heading-WarmRedChar">
    <w:name w:val="Heading-Warm Red Char"/>
    <w:basedOn w:val="Heading-MagentaChar"/>
    <w:link w:val="Heading-WarmRed"/>
    <w:rsid w:val="003C4CED"/>
    <w:rPr>
      <w:rFonts w:ascii="Arial" w:eastAsiaTheme="majorEastAsia" w:hAnsi="Arial" w:cs="Arial"/>
      <w:b/>
      <w:bCs/>
      <w:color w:val="E9473F"/>
      <w:sz w:val="32"/>
      <w:szCs w:val="28"/>
    </w:rPr>
  </w:style>
  <w:style w:type="paragraph" w:customStyle="1" w:styleId="Sub-Heading2-WarmRed">
    <w:name w:val="Sub-Heading 2-Warm Red"/>
    <w:basedOn w:val="Sub-Heading2-Black"/>
    <w:link w:val="Sub-Heading2-WarmRedChar"/>
    <w:qFormat/>
    <w:rsid w:val="003C4CED"/>
    <w:rPr>
      <w:color w:val="E9473F"/>
    </w:rPr>
  </w:style>
  <w:style w:type="character" w:customStyle="1" w:styleId="Sub-Heading1-WarmRedChar">
    <w:name w:val="Sub-Heading 1-Warm Red Char"/>
    <w:basedOn w:val="Sub-Heading1-MagentaChar"/>
    <w:link w:val="Sub-Heading1-WarmRed"/>
    <w:rsid w:val="003C4CED"/>
    <w:rPr>
      <w:rFonts w:ascii="Arial" w:eastAsiaTheme="majorEastAsia" w:hAnsi="Arial" w:cs="Arial"/>
      <w:b/>
      <w:bCs/>
      <w:i w:val="0"/>
      <w:color w:val="E9473F"/>
      <w:sz w:val="28"/>
      <w:szCs w:val="26"/>
    </w:rPr>
  </w:style>
  <w:style w:type="paragraph" w:customStyle="1" w:styleId="Body-WarmRed">
    <w:name w:val="Body-Warm Red"/>
    <w:basedOn w:val="Body-Black"/>
    <w:link w:val="Body-WarmRedChar"/>
    <w:qFormat/>
    <w:rsid w:val="003C4CED"/>
    <w:rPr>
      <w:color w:val="E9473F"/>
    </w:rPr>
  </w:style>
  <w:style w:type="character" w:customStyle="1" w:styleId="Sub-Heading2-WarmRedChar">
    <w:name w:val="Sub-Heading 2-Warm Red Char"/>
    <w:basedOn w:val="Sub-Heading2-MagentaChar"/>
    <w:link w:val="Sub-Heading2-WarmRed"/>
    <w:rsid w:val="003C4CED"/>
    <w:rPr>
      <w:rFonts w:ascii="Arial" w:eastAsiaTheme="majorEastAsia" w:hAnsi="Arial" w:cs="Arial"/>
      <w:b w:val="0"/>
      <w:bCs/>
      <w:i w:val="0"/>
      <w:color w:val="E9473F"/>
      <w:sz w:val="24"/>
      <w:szCs w:val="26"/>
    </w:rPr>
  </w:style>
  <w:style w:type="paragraph" w:customStyle="1" w:styleId="Title-BrightYellow">
    <w:name w:val="Title-Bright Yellow"/>
    <w:basedOn w:val="Title-Black"/>
    <w:link w:val="Title-BrightYellowChar"/>
    <w:qFormat/>
    <w:rsid w:val="003C4CED"/>
    <w:rPr>
      <w:color w:val="FED700"/>
    </w:rPr>
  </w:style>
  <w:style w:type="character" w:customStyle="1" w:styleId="Body-WarmRedChar">
    <w:name w:val="Body-Warm Red Char"/>
    <w:basedOn w:val="Body-MagentaChar"/>
    <w:link w:val="Body-WarmRed"/>
    <w:rsid w:val="003C4CED"/>
    <w:rPr>
      <w:rFonts w:ascii="Arial" w:eastAsiaTheme="minorEastAsia" w:hAnsi="Arial" w:cs="Arial"/>
      <w:iCs/>
      <w:color w:val="E9473F"/>
      <w:sz w:val="20"/>
    </w:rPr>
  </w:style>
  <w:style w:type="paragraph" w:customStyle="1" w:styleId="Heading-BrightYellow">
    <w:name w:val="Heading-Bright Yellow"/>
    <w:basedOn w:val="Heading-Black"/>
    <w:link w:val="Heading-BrightYellowChar"/>
    <w:qFormat/>
    <w:rsid w:val="003C4CED"/>
    <w:rPr>
      <w:color w:val="FED700"/>
    </w:rPr>
  </w:style>
  <w:style w:type="character" w:customStyle="1" w:styleId="Title-BrightYellowChar">
    <w:name w:val="Title-Bright Yellow Char"/>
    <w:basedOn w:val="Title-WarmRedChar"/>
    <w:link w:val="Title-BrightYellow"/>
    <w:rsid w:val="003C4CED"/>
    <w:rPr>
      <w:rFonts w:ascii="Arial" w:eastAsiaTheme="majorEastAsia" w:hAnsi="Arial" w:cs="Arial"/>
      <w:b/>
      <w:color w:val="FED700"/>
      <w:spacing w:val="5"/>
      <w:kern w:val="28"/>
      <w:sz w:val="48"/>
      <w:szCs w:val="72"/>
    </w:rPr>
  </w:style>
  <w:style w:type="paragraph" w:customStyle="1" w:styleId="Sub-Heading1-BrightYellow">
    <w:name w:val="Sub-Heading 1-Bright Yellow"/>
    <w:basedOn w:val="Sub-Heading1-Black"/>
    <w:link w:val="Sub-Heading1-BrightYellowChar"/>
    <w:qFormat/>
    <w:rsid w:val="003C4CED"/>
    <w:rPr>
      <w:color w:val="FED700"/>
    </w:rPr>
  </w:style>
  <w:style w:type="character" w:customStyle="1" w:styleId="Heading-BrightYellowChar">
    <w:name w:val="Heading-Bright Yellow Char"/>
    <w:basedOn w:val="Heading-WarmRedChar"/>
    <w:link w:val="Heading-BrightYellow"/>
    <w:rsid w:val="003C4CED"/>
    <w:rPr>
      <w:rFonts w:ascii="Arial" w:eastAsiaTheme="majorEastAsia" w:hAnsi="Arial" w:cs="Arial"/>
      <w:b/>
      <w:bCs/>
      <w:color w:val="FED700"/>
      <w:sz w:val="32"/>
      <w:szCs w:val="28"/>
    </w:rPr>
  </w:style>
  <w:style w:type="paragraph" w:customStyle="1" w:styleId="Sub-Heading2-BrightYellow">
    <w:name w:val="Sub-Heading 2-Bright Yellow"/>
    <w:basedOn w:val="Sub-Heading2-Black"/>
    <w:link w:val="Sub-Heading2-BrightYellowChar"/>
    <w:qFormat/>
    <w:rsid w:val="003C4CED"/>
    <w:rPr>
      <w:color w:val="FED700"/>
    </w:rPr>
  </w:style>
  <w:style w:type="character" w:customStyle="1" w:styleId="Sub-Heading1-BrightYellowChar">
    <w:name w:val="Sub-Heading 1-Bright Yellow Char"/>
    <w:basedOn w:val="Sub-Heading1-WarmRedChar"/>
    <w:link w:val="Sub-Heading1-BrightYellow"/>
    <w:rsid w:val="003C4CED"/>
    <w:rPr>
      <w:rFonts w:ascii="Arial" w:eastAsiaTheme="majorEastAsia" w:hAnsi="Arial" w:cs="Arial"/>
      <w:b/>
      <w:bCs/>
      <w:i w:val="0"/>
      <w:color w:val="FED700"/>
      <w:sz w:val="28"/>
      <w:szCs w:val="26"/>
    </w:rPr>
  </w:style>
  <w:style w:type="paragraph" w:customStyle="1" w:styleId="Body-BrightYellow">
    <w:name w:val="Body-Bright Yellow"/>
    <w:basedOn w:val="Body-Black"/>
    <w:link w:val="Body-BrightYellowChar"/>
    <w:qFormat/>
    <w:rsid w:val="003C4CED"/>
    <w:rPr>
      <w:color w:val="FED700"/>
    </w:rPr>
  </w:style>
  <w:style w:type="character" w:customStyle="1" w:styleId="Sub-Heading2-BrightYellowChar">
    <w:name w:val="Sub-Heading 2-Bright Yellow Char"/>
    <w:basedOn w:val="Sub-Heading2-WarmRedChar"/>
    <w:link w:val="Sub-Heading2-BrightYellow"/>
    <w:rsid w:val="003C4CED"/>
    <w:rPr>
      <w:rFonts w:ascii="Arial" w:eastAsiaTheme="majorEastAsia" w:hAnsi="Arial" w:cs="Arial"/>
      <w:b w:val="0"/>
      <w:bCs/>
      <w:i w:val="0"/>
      <w:color w:val="FED700"/>
      <w:sz w:val="24"/>
      <w:szCs w:val="26"/>
    </w:rPr>
  </w:style>
  <w:style w:type="paragraph" w:customStyle="1" w:styleId="Title-Khaki">
    <w:name w:val="Title-Khaki"/>
    <w:basedOn w:val="Title-Black"/>
    <w:link w:val="Title-KhakiChar"/>
    <w:qFormat/>
    <w:rsid w:val="003C4CED"/>
    <w:rPr>
      <w:color w:val="7C7257"/>
    </w:rPr>
  </w:style>
  <w:style w:type="character" w:customStyle="1" w:styleId="Body-BrightYellowChar">
    <w:name w:val="Body-Bright Yellow Char"/>
    <w:basedOn w:val="Body-WarmRedChar"/>
    <w:link w:val="Body-BrightYellow"/>
    <w:rsid w:val="003C4CED"/>
    <w:rPr>
      <w:rFonts w:ascii="Arial" w:eastAsiaTheme="minorEastAsia" w:hAnsi="Arial" w:cs="Arial"/>
      <w:iCs/>
      <w:color w:val="FED700"/>
      <w:sz w:val="20"/>
    </w:rPr>
  </w:style>
  <w:style w:type="paragraph" w:customStyle="1" w:styleId="Heading-Khaki">
    <w:name w:val="Heading-Khaki"/>
    <w:basedOn w:val="Heading-Black"/>
    <w:link w:val="Heading-KhakiChar"/>
    <w:qFormat/>
    <w:rsid w:val="003C4CED"/>
    <w:rPr>
      <w:color w:val="7C7257"/>
    </w:rPr>
  </w:style>
  <w:style w:type="character" w:customStyle="1" w:styleId="Title-KhakiChar">
    <w:name w:val="Title-Khaki Char"/>
    <w:basedOn w:val="Title-BrightYellowChar"/>
    <w:link w:val="Title-Khaki"/>
    <w:rsid w:val="003C4CED"/>
    <w:rPr>
      <w:rFonts w:ascii="Arial" w:eastAsiaTheme="majorEastAsia" w:hAnsi="Arial" w:cs="Arial"/>
      <w:b/>
      <w:color w:val="7C7257"/>
      <w:spacing w:val="5"/>
      <w:kern w:val="28"/>
      <w:sz w:val="48"/>
      <w:szCs w:val="72"/>
    </w:rPr>
  </w:style>
  <w:style w:type="paragraph" w:customStyle="1" w:styleId="Sub-Heading1-Khaki">
    <w:name w:val="Sub-Heading 1-Khaki"/>
    <w:basedOn w:val="Sub-Heading1-Black"/>
    <w:link w:val="Sub-Heading1-KhakiChar"/>
    <w:qFormat/>
    <w:rsid w:val="003C4CED"/>
    <w:rPr>
      <w:color w:val="7C7257"/>
    </w:rPr>
  </w:style>
  <w:style w:type="character" w:customStyle="1" w:styleId="Heading-KhakiChar">
    <w:name w:val="Heading-Khaki Char"/>
    <w:basedOn w:val="Heading-BrightYellowChar"/>
    <w:link w:val="Heading-Khaki"/>
    <w:rsid w:val="003C4CED"/>
    <w:rPr>
      <w:rFonts w:ascii="Arial" w:eastAsiaTheme="majorEastAsia" w:hAnsi="Arial" w:cs="Arial"/>
      <w:b/>
      <w:bCs/>
      <w:color w:val="7C7257"/>
      <w:sz w:val="32"/>
      <w:szCs w:val="28"/>
    </w:rPr>
  </w:style>
  <w:style w:type="paragraph" w:customStyle="1" w:styleId="Sub-Heading2-Khaki">
    <w:name w:val="Sub-Heading 2-Khaki"/>
    <w:basedOn w:val="Sub-Heading2-Black"/>
    <w:link w:val="Sub-Heading2-KhakiChar"/>
    <w:qFormat/>
    <w:rsid w:val="003C4CED"/>
    <w:rPr>
      <w:color w:val="7C7257"/>
    </w:rPr>
  </w:style>
  <w:style w:type="character" w:customStyle="1" w:styleId="Sub-Heading1-KhakiChar">
    <w:name w:val="Sub-Heading 1-Khaki Char"/>
    <w:basedOn w:val="Sub-Heading1-BrightYellowChar"/>
    <w:link w:val="Sub-Heading1-Khaki"/>
    <w:rsid w:val="003C4CED"/>
    <w:rPr>
      <w:rFonts w:ascii="Arial" w:eastAsiaTheme="majorEastAsia" w:hAnsi="Arial" w:cs="Arial"/>
      <w:b/>
      <w:bCs/>
      <w:i w:val="0"/>
      <w:color w:val="7C7257"/>
      <w:sz w:val="28"/>
      <w:szCs w:val="26"/>
    </w:rPr>
  </w:style>
  <w:style w:type="paragraph" w:customStyle="1" w:styleId="Title-Stone">
    <w:name w:val="Title-Stone"/>
    <w:basedOn w:val="Title-Black"/>
    <w:link w:val="Title-StoneChar"/>
    <w:qFormat/>
    <w:rsid w:val="003C4CED"/>
    <w:rPr>
      <w:color w:val="D8D2C4"/>
    </w:rPr>
  </w:style>
  <w:style w:type="character" w:customStyle="1" w:styleId="Sub-Heading2-KhakiChar">
    <w:name w:val="Sub-Heading 2-Khaki Char"/>
    <w:basedOn w:val="Sub-Heading2-BrightYellowChar"/>
    <w:link w:val="Sub-Heading2-Khaki"/>
    <w:rsid w:val="003C4CED"/>
    <w:rPr>
      <w:rFonts w:ascii="Arial" w:eastAsiaTheme="majorEastAsia" w:hAnsi="Arial" w:cs="Arial"/>
      <w:b w:val="0"/>
      <w:bCs/>
      <w:i w:val="0"/>
      <w:color w:val="7C7257"/>
      <w:sz w:val="24"/>
      <w:szCs w:val="26"/>
    </w:rPr>
  </w:style>
  <w:style w:type="paragraph" w:customStyle="1" w:styleId="Heading-Stone">
    <w:name w:val="Heading-Stone"/>
    <w:basedOn w:val="Heading-Black"/>
    <w:link w:val="Heading-StoneChar"/>
    <w:qFormat/>
    <w:rsid w:val="003C4CED"/>
    <w:rPr>
      <w:color w:val="D8D2C4"/>
    </w:rPr>
  </w:style>
  <w:style w:type="character" w:customStyle="1" w:styleId="Title-StoneChar">
    <w:name w:val="Title-Stone Char"/>
    <w:basedOn w:val="Title-BlackChar"/>
    <w:link w:val="Title-Stone"/>
    <w:rsid w:val="003C4CED"/>
    <w:rPr>
      <w:rFonts w:ascii="Arial" w:eastAsiaTheme="majorEastAsia" w:hAnsi="Arial" w:cs="Arial"/>
      <w:b/>
      <w:color w:val="D8D2C4"/>
      <w:spacing w:val="5"/>
      <w:kern w:val="28"/>
      <w:sz w:val="48"/>
      <w:szCs w:val="72"/>
    </w:rPr>
  </w:style>
  <w:style w:type="paragraph" w:customStyle="1" w:styleId="Sub-Heading1-Stone">
    <w:name w:val="Sub-Heading 1-Stone"/>
    <w:basedOn w:val="Sub-Heading1-Black"/>
    <w:link w:val="Sub-Heading1-StoneChar"/>
    <w:qFormat/>
    <w:rsid w:val="003C4CED"/>
    <w:rPr>
      <w:color w:val="D8D2C4"/>
    </w:rPr>
  </w:style>
  <w:style w:type="character" w:customStyle="1" w:styleId="Heading-StoneChar">
    <w:name w:val="Heading-Stone Char"/>
    <w:basedOn w:val="Heading-BlackChar"/>
    <w:link w:val="Heading-Stone"/>
    <w:rsid w:val="003C4CED"/>
    <w:rPr>
      <w:rFonts w:ascii="Arial" w:eastAsiaTheme="majorEastAsia" w:hAnsi="Arial" w:cs="Arial"/>
      <w:b/>
      <w:bCs/>
      <w:color w:val="D8D2C4"/>
      <w:sz w:val="32"/>
      <w:szCs w:val="28"/>
    </w:rPr>
  </w:style>
  <w:style w:type="paragraph" w:customStyle="1" w:styleId="Sub-Heading2-Stone">
    <w:name w:val="Sub-Heading 2-Stone"/>
    <w:basedOn w:val="Sub-Heading2-Black"/>
    <w:link w:val="Sub-Heading2-StoneChar"/>
    <w:qFormat/>
    <w:rsid w:val="003C4CED"/>
    <w:rPr>
      <w:color w:val="D8D2C4"/>
    </w:rPr>
  </w:style>
  <w:style w:type="character" w:customStyle="1" w:styleId="Sub-Heading1-StoneChar">
    <w:name w:val="Sub-Heading 1-Stone Char"/>
    <w:basedOn w:val="Sub-Heading1-BlackChar"/>
    <w:link w:val="Sub-Heading1-Stone"/>
    <w:rsid w:val="003C4CED"/>
    <w:rPr>
      <w:rFonts w:ascii="Arial" w:eastAsiaTheme="majorEastAsia" w:hAnsi="Arial" w:cs="Arial"/>
      <w:b/>
      <w:bCs/>
      <w:i w:val="0"/>
      <w:color w:val="D8D2C4"/>
      <w:sz w:val="28"/>
      <w:szCs w:val="26"/>
    </w:rPr>
  </w:style>
  <w:style w:type="paragraph" w:customStyle="1" w:styleId="Body-Stone">
    <w:name w:val="Body-Stone"/>
    <w:basedOn w:val="Body-Black"/>
    <w:link w:val="Body-StoneChar"/>
    <w:qFormat/>
    <w:rsid w:val="003C4CED"/>
    <w:rPr>
      <w:color w:val="D8D2C4"/>
    </w:rPr>
  </w:style>
  <w:style w:type="character" w:customStyle="1" w:styleId="Sub-Heading2-StoneChar">
    <w:name w:val="Sub-Heading 2-Stone Char"/>
    <w:basedOn w:val="Sub-Heading2-BlackChar"/>
    <w:link w:val="Sub-Heading2-Stone"/>
    <w:rsid w:val="003C4CED"/>
    <w:rPr>
      <w:rFonts w:ascii="Arial" w:eastAsiaTheme="majorEastAsia" w:hAnsi="Arial" w:cs="Arial"/>
      <w:bCs/>
      <w:i w:val="0"/>
      <w:color w:val="D8D2C4"/>
      <w:sz w:val="24"/>
    </w:rPr>
  </w:style>
  <w:style w:type="paragraph" w:customStyle="1" w:styleId="Title-Cyan">
    <w:name w:val="Title-Cyan"/>
    <w:basedOn w:val="Title-Black"/>
    <w:link w:val="Title-CyanChar"/>
    <w:qFormat/>
    <w:rsid w:val="003C4CED"/>
    <w:rPr>
      <w:color w:val="009FE3"/>
    </w:rPr>
  </w:style>
  <w:style w:type="character" w:customStyle="1" w:styleId="Body-StoneChar">
    <w:name w:val="Body-Stone Char"/>
    <w:basedOn w:val="Body-BlackChar"/>
    <w:link w:val="Body-Stone"/>
    <w:rsid w:val="003C4CED"/>
    <w:rPr>
      <w:rFonts w:ascii="Arial" w:eastAsiaTheme="minorEastAsia" w:hAnsi="Arial" w:cs="Arial"/>
      <w:iCs/>
      <w:color w:val="D8D2C4"/>
      <w:sz w:val="20"/>
    </w:rPr>
  </w:style>
  <w:style w:type="paragraph" w:customStyle="1" w:styleId="Heading-Cyan">
    <w:name w:val="Heading-Cyan"/>
    <w:basedOn w:val="Heading-Black"/>
    <w:link w:val="Heading-CyanChar"/>
    <w:qFormat/>
    <w:rsid w:val="003C4CED"/>
    <w:rPr>
      <w:color w:val="009FE3"/>
    </w:rPr>
  </w:style>
  <w:style w:type="character" w:customStyle="1" w:styleId="Title-CyanChar">
    <w:name w:val="Title-Cyan Char"/>
    <w:basedOn w:val="Title-StoneChar"/>
    <w:link w:val="Title-Cyan"/>
    <w:rsid w:val="003C4CED"/>
    <w:rPr>
      <w:rFonts w:ascii="Arial" w:eastAsiaTheme="majorEastAsia" w:hAnsi="Arial" w:cs="Arial"/>
      <w:b/>
      <w:color w:val="009FE3"/>
      <w:spacing w:val="5"/>
      <w:kern w:val="28"/>
      <w:sz w:val="48"/>
      <w:szCs w:val="72"/>
    </w:rPr>
  </w:style>
  <w:style w:type="paragraph" w:customStyle="1" w:styleId="Sub-Heading1-Cyan">
    <w:name w:val="Sub-Heading 1-Cyan"/>
    <w:basedOn w:val="Sub-Heading1-Black"/>
    <w:link w:val="Sub-Heading1-CyanChar"/>
    <w:qFormat/>
    <w:rsid w:val="003C4CED"/>
    <w:rPr>
      <w:color w:val="009FE3"/>
    </w:rPr>
  </w:style>
  <w:style w:type="character" w:customStyle="1" w:styleId="Heading-CyanChar">
    <w:name w:val="Heading-Cyan Char"/>
    <w:basedOn w:val="Heading-StoneChar"/>
    <w:link w:val="Heading-Cyan"/>
    <w:rsid w:val="003C4CED"/>
    <w:rPr>
      <w:rFonts w:ascii="Arial" w:eastAsiaTheme="majorEastAsia" w:hAnsi="Arial" w:cs="Arial"/>
      <w:b/>
      <w:bCs/>
      <w:color w:val="009FE3"/>
      <w:sz w:val="32"/>
      <w:szCs w:val="28"/>
    </w:rPr>
  </w:style>
  <w:style w:type="paragraph" w:customStyle="1" w:styleId="Sub-Heading2-Cyan">
    <w:name w:val="Sub-Heading 2-Cyan"/>
    <w:basedOn w:val="Sub-Heading2-Black"/>
    <w:link w:val="Sub-Heading2-CyanChar"/>
    <w:qFormat/>
    <w:rsid w:val="003C4CED"/>
    <w:rPr>
      <w:color w:val="009FE3"/>
    </w:rPr>
  </w:style>
  <w:style w:type="character" w:customStyle="1" w:styleId="Sub-Heading1-CyanChar">
    <w:name w:val="Sub-Heading 1-Cyan Char"/>
    <w:basedOn w:val="Sub-Heading1-StoneChar"/>
    <w:link w:val="Sub-Heading1-Cyan"/>
    <w:rsid w:val="003C4CED"/>
    <w:rPr>
      <w:rFonts w:ascii="Arial" w:eastAsiaTheme="majorEastAsia" w:hAnsi="Arial" w:cs="Arial"/>
      <w:b/>
      <w:bCs/>
      <w:i w:val="0"/>
      <w:color w:val="009FE3"/>
      <w:sz w:val="28"/>
      <w:szCs w:val="26"/>
    </w:rPr>
  </w:style>
  <w:style w:type="paragraph" w:customStyle="1" w:styleId="Body-Cyan">
    <w:name w:val="Body-Cyan"/>
    <w:basedOn w:val="Body-Black"/>
    <w:link w:val="Body-CyanChar"/>
    <w:qFormat/>
    <w:rsid w:val="003C4CED"/>
    <w:rPr>
      <w:color w:val="009FE3"/>
    </w:rPr>
  </w:style>
  <w:style w:type="character" w:customStyle="1" w:styleId="Sub-Heading2-CyanChar">
    <w:name w:val="Sub-Heading 2-Cyan Char"/>
    <w:basedOn w:val="Sub-Heading2-StoneChar"/>
    <w:link w:val="Sub-Heading2-Cyan"/>
    <w:rsid w:val="003C4CED"/>
    <w:rPr>
      <w:rFonts w:ascii="Arial" w:eastAsiaTheme="majorEastAsia" w:hAnsi="Arial" w:cs="Arial"/>
      <w:bCs/>
      <w:i w:val="0"/>
      <w:color w:val="009FE3"/>
      <w:sz w:val="24"/>
    </w:rPr>
  </w:style>
  <w:style w:type="paragraph" w:customStyle="1" w:styleId="Title-Teal">
    <w:name w:val="Title-Teal"/>
    <w:basedOn w:val="Title-Black"/>
    <w:link w:val="Title-TealChar"/>
    <w:qFormat/>
    <w:rsid w:val="003C4CED"/>
    <w:rPr>
      <w:color w:val="47BCCA"/>
    </w:rPr>
  </w:style>
  <w:style w:type="character" w:customStyle="1" w:styleId="Body-CyanChar">
    <w:name w:val="Body-Cyan Char"/>
    <w:basedOn w:val="Body-StoneChar"/>
    <w:link w:val="Body-Cyan"/>
    <w:rsid w:val="003C4CED"/>
    <w:rPr>
      <w:rFonts w:ascii="Arial" w:eastAsiaTheme="minorEastAsia" w:hAnsi="Arial" w:cs="Arial"/>
      <w:iCs/>
      <w:color w:val="009FE3"/>
      <w:sz w:val="20"/>
    </w:rPr>
  </w:style>
  <w:style w:type="paragraph" w:customStyle="1" w:styleId="Heading-Teal">
    <w:name w:val="Heading-Teal"/>
    <w:basedOn w:val="Heading-Black"/>
    <w:link w:val="Heading-TealChar"/>
    <w:qFormat/>
    <w:rsid w:val="003C4CED"/>
    <w:rPr>
      <w:color w:val="47BCCA"/>
    </w:rPr>
  </w:style>
  <w:style w:type="character" w:customStyle="1" w:styleId="Title-TealChar">
    <w:name w:val="Title-Teal Char"/>
    <w:basedOn w:val="Title-CyanChar"/>
    <w:link w:val="Title-Teal"/>
    <w:rsid w:val="003C4CED"/>
    <w:rPr>
      <w:rFonts w:ascii="Arial" w:eastAsiaTheme="majorEastAsia" w:hAnsi="Arial" w:cs="Arial"/>
      <w:b/>
      <w:color w:val="47BCCA"/>
      <w:spacing w:val="5"/>
      <w:kern w:val="28"/>
      <w:sz w:val="48"/>
      <w:szCs w:val="72"/>
    </w:rPr>
  </w:style>
  <w:style w:type="paragraph" w:customStyle="1" w:styleId="Sub-Heading1-Teal">
    <w:name w:val="Sub-Heading 1-Teal"/>
    <w:basedOn w:val="Sub-Heading1-Black"/>
    <w:link w:val="Sub-Heading1-TealChar"/>
    <w:qFormat/>
    <w:rsid w:val="003C4CED"/>
    <w:rPr>
      <w:color w:val="47BCCA"/>
    </w:rPr>
  </w:style>
  <w:style w:type="character" w:customStyle="1" w:styleId="Heading-TealChar">
    <w:name w:val="Heading-Teal Char"/>
    <w:basedOn w:val="Heading-CyanChar"/>
    <w:link w:val="Heading-Teal"/>
    <w:rsid w:val="003C4CED"/>
    <w:rPr>
      <w:rFonts w:ascii="Arial" w:eastAsiaTheme="majorEastAsia" w:hAnsi="Arial" w:cs="Arial"/>
      <w:b/>
      <w:bCs/>
      <w:color w:val="47BCCA"/>
      <w:sz w:val="32"/>
      <w:szCs w:val="28"/>
    </w:rPr>
  </w:style>
  <w:style w:type="paragraph" w:customStyle="1" w:styleId="Sub-Heading2-Teal">
    <w:name w:val="Sub-Heading 2-Teal"/>
    <w:basedOn w:val="Sub-Heading2-Black"/>
    <w:link w:val="Sub-Heading2-TealChar"/>
    <w:qFormat/>
    <w:rsid w:val="003C4CED"/>
    <w:rPr>
      <w:color w:val="47BCCA"/>
    </w:rPr>
  </w:style>
  <w:style w:type="character" w:customStyle="1" w:styleId="Sub-Heading1-TealChar">
    <w:name w:val="Sub-Heading 1-Teal Char"/>
    <w:basedOn w:val="Sub-Heading1-CyanChar"/>
    <w:link w:val="Sub-Heading1-Teal"/>
    <w:rsid w:val="003C4CED"/>
    <w:rPr>
      <w:rFonts w:ascii="Arial" w:eastAsiaTheme="majorEastAsia" w:hAnsi="Arial" w:cs="Arial"/>
      <w:b/>
      <w:bCs/>
      <w:i w:val="0"/>
      <w:color w:val="47BCCA"/>
      <w:sz w:val="28"/>
      <w:szCs w:val="26"/>
    </w:rPr>
  </w:style>
  <w:style w:type="paragraph" w:customStyle="1" w:styleId="Body-Teal">
    <w:name w:val="Body-Teal"/>
    <w:basedOn w:val="Body-Black"/>
    <w:link w:val="Body-TealChar"/>
    <w:qFormat/>
    <w:rsid w:val="003C4CED"/>
    <w:rPr>
      <w:color w:val="47BCCA"/>
    </w:rPr>
  </w:style>
  <w:style w:type="character" w:customStyle="1" w:styleId="Sub-Heading2-TealChar">
    <w:name w:val="Sub-Heading 2-Teal Char"/>
    <w:basedOn w:val="Sub-Heading2-CyanChar"/>
    <w:link w:val="Sub-Heading2-Teal"/>
    <w:rsid w:val="003C4CED"/>
    <w:rPr>
      <w:rFonts w:ascii="Arial" w:eastAsiaTheme="majorEastAsia" w:hAnsi="Arial" w:cs="Arial"/>
      <w:bCs/>
      <w:i w:val="0"/>
      <w:color w:val="47BCCA"/>
      <w:sz w:val="24"/>
    </w:rPr>
  </w:style>
  <w:style w:type="paragraph" w:customStyle="1" w:styleId="Title-LightGrey">
    <w:name w:val="Title-Light Grey"/>
    <w:basedOn w:val="Title-Black"/>
    <w:link w:val="Title-LightGreyChar"/>
    <w:qFormat/>
    <w:rsid w:val="003C4CED"/>
    <w:rPr>
      <w:color w:val="78787F"/>
    </w:rPr>
  </w:style>
  <w:style w:type="character" w:customStyle="1" w:styleId="Body-TealChar">
    <w:name w:val="Body-Teal Char"/>
    <w:basedOn w:val="Body-CyanChar"/>
    <w:link w:val="Body-Teal"/>
    <w:rsid w:val="003C4CED"/>
    <w:rPr>
      <w:rFonts w:ascii="Arial" w:eastAsiaTheme="minorEastAsia" w:hAnsi="Arial" w:cs="Arial"/>
      <w:iCs/>
      <w:color w:val="47BCCA"/>
      <w:sz w:val="20"/>
    </w:rPr>
  </w:style>
  <w:style w:type="paragraph" w:customStyle="1" w:styleId="Heading-LightGrey">
    <w:name w:val="Heading-Light Grey"/>
    <w:basedOn w:val="Heading-Black"/>
    <w:link w:val="Heading-LightGreyChar"/>
    <w:qFormat/>
    <w:rsid w:val="003C4CED"/>
    <w:rPr>
      <w:color w:val="78787F"/>
    </w:rPr>
  </w:style>
  <w:style w:type="character" w:customStyle="1" w:styleId="Title-LightGreyChar">
    <w:name w:val="Title-Light Grey Char"/>
    <w:basedOn w:val="Title-TealChar"/>
    <w:link w:val="Title-LightGrey"/>
    <w:rsid w:val="003C4CED"/>
    <w:rPr>
      <w:rFonts w:ascii="Arial" w:eastAsiaTheme="majorEastAsia" w:hAnsi="Arial" w:cs="Arial"/>
      <w:b/>
      <w:color w:val="78787F"/>
      <w:spacing w:val="5"/>
      <w:kern w:val="28"/>
      <w:sz w:val="48"/>
      <w:szCs w:val="72"/>
    </w:rPr>
  </w:style>
  <w:style w:type="paragraph" w:customStyle="1" w:styleId="Sub-Heading1-LightGrey">
    <w:name w:val="Sub-Heading 1-Light Grey"/>
    <w:basedOn w:val="Sub-Heading1-Black"/>
    <w:link w:val="Sub-Heading1-LightGreyChar"/>
    <w:qFormat/>
    <w:rsid w:val="003C4CED"/>
    <w:rPr>
      <w:color w:val="78787F"/>
    </w:rPr>
  </w:style>
  <w:style w:type="character" w:customStyle="1" w:styleId="Heading-LightGreyChar">
    <w:name w:val="Heading-Light Grey Char"/>
    <w:basedOn w:val="Heading-TealChar"/>
    <w:link w:val="Heading-LightGrey"/>
    <w:rsid w:val="003C4CED"/>
    <w:rPr>
      <w:rFonts w:ascii="Arial" w:eastAsiaTheme="majorEastAsia" w:hAnsi="Arial" w:cs="Arial"/>
      <w:b/>
      <w:bCs/>
      <w:color w:val="78787F"/>
      <w:sz w:val="32"/>
      <w:szCs w:val="28"/>
    </w:rPr>
  </w:style>
  <w:style w:type="paragraph" w:customStyle="1" w:styleId="Sub-Heading2-LightGrey">
    <w:name w:val="Sub-Heading 2-Light Grey"/>
    <w:basedOn w:val="Sub-Heading2-Black"/>
    <w:link w:val="Sub-Heading2-LightGreyChar"/>
    <w:qFormat/>
    <w:rsid w:val="003C4CED"/>
    <w:rPr>
      <w:color w:val="78787F"/>
    </w:rPr>
  </w:style>
  <w:style w:type="character" w:customStyle="1" w:styleId="Sub-Heading1-LightGreyChar">
    <w:name w:val="Sub-Heading 1-Light Grey Char"/>
    <w:basedOn w:val="Sub-Heading1-TealChar"/>
    <w:link w:val="Sub-Heading1-LightGrey"/>
    <w:rsid w:val="003C4CED"/>
    <w:rPr>
      <w:rFonts w:ascii="Arial" w:eastAsiaTheme="majorEastAsia" w:hAnsi="Arial" w:cs="Arial"/>
      <w:b/>
      <w:bCs/>
      <w:i w:val="0"/>
      <w:color w:val="78787F"/>
      <w:sz w:val="28"/>
      <w:szCs w:val="26"/>
    </w:rPr>
  </w:style>
  <w:style w:type="paragraph" w:customStyle="1" w:styleId="Body-LightGrey">
    <w:name w:val="Body-Light Grey"/>
    <w:basedOn w:val="Body-Black"/>
    <w:link w:val="Body-LightGreyChar"/>
    <w:qFormat/>
    <w:rsid w:val="003C4CED"/>
    <w:rPr>
      <w:color w:val="78787F"/>
    </w:rPr>
  </w:style>
  <w:style w:type="character" w:customStyle="1" w:styleId="Sub-Heading2-LightGreyChar">
    <w:name w:val="Sub-Heading 2-Light Grey Char"/>
    <w:basedOn w:val="Sub-Heading2-TealChar"/>
    <w:link w:val="Sub-Heading2-LightGrey"/>
    <w:rsid w:val="003C4CED"/>
    <w:rPr>
      <w:rFonts w:ascii="Arial" w:eastAsiaTheme="majorEastAsia" w:hAnsi="Arial" w:cs="Arial"/>
      <w:bCs/>
      <w:i w:val="0"/>
      <w:color w:val="78787F"/>
      <w:sz w:val="24"/>
    </w:rPr>
  </w:style>
  <w:style w:type="paragraph" w:customStyle="1" w:styleId="Title-Green">
    <w:name w:val="Title-Green"/>
    <w:basedOn w:val="Title-Black"/>
    <w:link w:val="Title-GreenChar"/>
    <w:qFormat/>
    <w:rsid w:val="003C4CED"/>
    <w:rPr>
      <w:color w:val="ACAC25"/>
    </w:rPr>
  </w:style>
  <w:style w:type="character" w:customStyle="1" w:styleId="Body-LightGreyChar">
    <w:name w:val="Body-Light Grey Char"/>
    <w:basedOn w:val="Body-TealChar"/>
    <w:link w:val="Body-LightGrey"/>
    <w:rsid w:val="003C4CED"/>
    <w:rPr>
      <w:rFonts w:ascii="Arial" w:eastAsiaTheme="minorEastAsia" w:hAnsi="Arial" w:cs="Arial"/>
      <w:iCs/>
      <w:color w:val="78787F"/>
      <w:sz w:val="20"/>
    </w:rPr>
  </w:style>
  <w:style w:type="paragraph" w:customStyle="1" w:styleId="Heading-Green">
    <w:name w:val="Heading-Green"/>
    <w:basedOn w:val="Heading-Black"/>
    <w:link w:val="Heading-GreenChar"/>
    <w:qFormat/>
    <w:rsid w:val="003C4CED"/>
    <w:rPr>
      <w:color w:val="ACAC25"/>
    </w:rPr>
  </w:style>
  <w:style w:type="character" w:customStyle="1" w:styleId="Title-GreenChar">
    <w:name w:val="Title-Green Char"/>
    <w:basedOn w:val="Title-LightGreyChar"/>
    <w:link w:val="Title-Green"/>
    <w:rsid w:val="003C4CED"/>
    <w:rPr>
      <w:rFonts w:ascii="Arial" w:eastAsiaTheme="majorEastAsia" w:hAnsi="Arial" w:cs="Arial"/>
      <w:b/>
      <w:color w:val="ACAC25"/>
      <w:spacing w:val="5"/>
      <w:kern w:val="28"/>
      <w:sz w:val="48"/>
      <w:szCs w:val="72"/>
    </w:rPr>
  </w:style>
  <w:style w:type="paragraph" w:customStyle="1" w:styleId="Sub-Heading1-Green">
    <w:name w:val="Sub-Heading 1-Green"/>
    <w:basedOn w:val="Sub-Heading1-Black"/>
    <w:link w:val="Sub-Heading1-GreenChar"/>
    <w:qFormat/>
    <w:rsid w:val="003C4CED"/>
    <w:rPr>
      <w:color w:val="ACAC25"/>
    </w:rPr>
  </w:style>
  <w:style w:type="character" w:customStyle="1" w:styleId="Heading-GreenChar">
    <w:name w:val="Heading-Green Char"/>
    <w:basedOn w:val="Heading-LightGreyChar"/>
    <w:link w:val="Heading-Green"/>
    <w:rsid w:val="003C4CED"/>
    <w:rPr>
      <w:rFonts w:ascii="Arial" w:eastAsiaTheme="majorEastAsia" w:hAnsi="Arial" w:cs="Arial"/>
      <w:b/>
      <w:bCs/>
      <w:color w:val="ACAC25"/>
      <w:sz w:val="32"/>
      <w:szCs w:val="28"/>
    </w:rPr>
  </w:style>
  <w:style w:type="paragraph" w:customStyle="1" w:styleId="Sub-Heading2-Green">
    <w:name w:val="Sub-Heading 2-Green"/>
    <w:basedOn w:val="Sub-Heading2-Black"/>
    <w:link w:val="Sub-Heading2-GreenChar"/>
    <w:qFormat/>
    <w:rsid w:val="003C4CED"/>
    <w:rPr>
      <w:color w:val="ACAC25"/>
    </w:rPr>
  </w:style>
  <w:style w:type="character" w:customStyle="1" w:styleId="Sub-Heading1-GreenChar">
    <w:name w:val="Sub-Heading 1-Green Char"/>
    <w:basedOn w:val="Sub-Heading1-LightGreyChar"/>
    <w:link w:val="Sub-Heading1-Green"/>
    <w:rsid w:val="003C4CED"/>
    <w:rPr>
      <w:rFonts w:ascii="Arial" w:eastAsiaTheme="majorEastAsia" w:hAnsi="Arial" w:cs="Arial"/>
      <w:b/>
      <w:bCs/>
      <w:i w:val="0"/>
      <w:color w:val="ACAC25"/>
      <w:sz w:val="28"/>
      <w:szCs w:val="26"/>
    </w:rPr>
  </w:style>
  <w:style w:type="paragraph" w:customStyle="1" w:styleId="Body-Green">
    <w:name w:val="Body-Green"/>
    <w:basedOn w:val="Body-Black"/>
    <w:link w:val="Body-GreenChar"/>
    <w:qFormat/>
    <w:rsid w:val="003C4CED"/>
    <w:rPr>
      <w:color w:val="ACAC25"/>
    </w:rPr>
  </w:style>
  <w:style w:type="character" w:customStyle="1" w:styleId="Sub-Heading2-GreenChar">
    <w:name w:val="Sub-Heading 2-Green Char"/>
    <w:basedOn w:val="Sub-Heading2-LightGreyChar"/>
    <w:link w:val="Sub-Heading2-Green"/>
    <w:rsid w:val="003C4CED"/>
    <w:rPr>
      <w:rFonts w:ascii="Arial" w:eastAsiaTheme="majorEastAsia" w:hAnsi="Arial" w:cs="Arial"/>
      <w:bCs/>
      <w:i w:val="0"/>
      <w:color w:val="ACAC25"/>
      <w:sz w:val="24"/>
    </w:rPr>
  </w:style>
  <w:style w:type="character" w:customStyle="1" w:styleId="Body-GreenChar">
    <w:name w:val="Body-Green Char"/>
    <w:basedOn w:val="Body-LightGreyChar"/>
    <w:link w:val="Body-Green"/>
    <w:rsid w:val="003C4CED"/>
    <w:rPr>
      <w:rFonts w:ascii="Arial" w:eastAsiaTheme="minorEastAsia" w:hAnsi="Arial" w:cs="Arial"/>
      <w:iCs/>
      <w:color w:val="ACAC25"/>
      <w:sz w:val="20"/>
    </w:rPr>
  </w:style>
  <w:style w:type="paragraph" w:styleId="Title">
    <w:name w:val="Title"/>
    <w:basedOn w:val="Normal"/>
    <w:next w:val="Normal"/>
    <w:link w:val="TitleChar"/>
    <w:uiPriority w:val="10"/>
    <w:rsid w:val="000E6A1E"/>
    <w:pPr>
      <w:pBdr>
        <w:bottom w:val="single" w:sz="8" w:space="4" w:color="E9473F" w:themeColor="accent1"/>
      </w:pBdr>
      <w:spacing w:after="300" w:line="240" w:lineRule="auto"/>
      <w:contextualSpacing/>
    </w:pPr>
    <w:rPr>
      <w:rFonts w:asciiTheme="majorHAnsi" w:eastAsiaTheme="majorEastAsia" w:hAnsiTheme="majorHAnsi" w:cstheme="majorBidi"/>
      <w:color w:val="5A5A5F" w:themeColor="text2" w:themeShade="BF"/>
      <w:spacing w:val="5"/>
      <w:kern w:val="28"/>
      <w:sz w:val="52"/>
      <w:szCs w:val="52"/>
      <w:lang w:val="en-AU"/>
    </w:rPr>
  </w:style>
  <w:style w:type="character" w:customStyle="1" w:styleId="TitleChar">
    <w:name w:val="Title Char"/>
    <w:basedOn w:val="DefaultParagraphFont"/>
    <w:link w:val="Title"/>
    <w:uiPriority w:val="10"/>
    <w:rsid w:val="000E6A1E"/>
    <w:rPr>
      <w:rFonts w:asciiTheme="majorHAnsi" w:eastAsiaTheme="majorEastAsia" w:hAnsiTheme="majorHAnsi" w:cstheme="majorBidi"/>
      <w:color w:val="5A5A5F" w:themeColor="text2" w:themeShade="BF"/>
      <w:spacing w:val="5"/>
      <w:kern w:val="28"/>
      <w:sz w:val="52"/>
      <w:szCs w:val="52"/>
    </w:rPr>
  </w:style>
  <w:style w:type="character" w:customStyle="1" w:styleId="Heading1Char">
    <w:name w:val="Heading 1 Char"/>
    <w:basedOn w:val="DefaultParagraphFont"/>
    <w:link w:val="Heading1"/>
    <w:uiPriority w:val="9"/>
    <w:rsid w:val="000E6A1E"/>
    <w:rPr>
      <w:rFonts w:asciiTheme="majorHAnsi" w:eastAsiaTheme="majorEastAsia" w:hAnsiTheme="majorHAnsi" w:cstheme="majorBidi"/>
      <w:b/>
      <w:bCs/>
      <w:color w:val="C61F16" w:themeColor="accent1" w:themeShade="BF"/>
      <w:sz w:val="28"/>
      <w:szCs w:val="28"/>
    </w:rPr>
  </w:style>
  <w:style w:type="character" w:customStyle="1" w:styleId="Heading2Char">
    <w:name w:val="Heading 2 Char"/>
    <w:basedOn w:val="DefaultParagraphFont"/>
    <w:link w:val="Heading2"/>
    <w:uiPriority w:val="9"/>
    <w:semiHidden/>
    <w:rsid w:val="000E6A1E"/>
    <w:rPr>
      <w:rFonts w:asciiTheme="majorHAnsi" w:eastAsiaTheme="majorEastAsia" w:hAnsiTheme="majorHAnsi" w:cstheme="majorBidi"/>
      <w:b/>
      <w:bCs/>
      <w:color w:val="E9473F" w:themeColor="accent1"/>
      <w:sz w:val="26"/>
      <w:szCs w:val="26"/>
    </w:rPr>
  </w:style>
  <w:style w:type="character" w:customStyle="1" w:styleId="Heading3Char">
    <w:name w:val="Heading 3 Char"/>
    <w:basedOn w:val="DefaultParagraphFont"/>
    <w:link w:val="Heading3"/>
    <w:uiPriority w:val="9"/>
    <w:semiHidden/>
    <w:rsid w:val="000E6A1E"/>
    <w:rPr>
      <w:rFonts w:asciiTheme="majorHAnsi" w:eastAsiaTheme="majorEastAsia" w:hAnsiTheme="majorHAnsi" w:cstheme="majorBidi"/>
      <w:b/>
      <w:bCs/>
      <w:color w:val="E9473F" w:themeColor="accent1"/>
    </w:rPr>
  </w:style>
  <w:style w:type="paragraph" w:styleId="BlockText">
    <w:name w:val="Block Text"/>
    <w:basedOn w:val="Normal"/>
    <w:uiPriority w:val="99"/>
    <w:semiHidden/>
    <w:unhideWhenUsed/>
    <w:rsid w:val="000E6A1E"/>
    <w:pPr>
      <w:pBdr>
        <w:top w:val="single" w:sz="2" w:space="10" w:color="E9473F" w:themeColor="accent1" w:frame="1"/>
        <w:left w:val="single" w:sz="2" w:space="10" w:color="E9473F" w:themeColor="accent1" w:frame="1"/>
        <w:bottom w:val="single" w:sz="2" w:space="10" w:color="E9473F" w:themeColor="accent1" w:frame="1"/>
        <w:right w:val="single" w:sz="2" w:space="10" w:color="E9473F" w:themeColor="accent1" w:frame="1"/>
      </w:pBdr>
      <w:ind w:left="1152" w:right="1152"/>
    </w:pPr>
    <w:rPr>
      <w:rFonts w:eastAsiaTheme="minorEastAsia"/>
      <w:i/>
      <w:iCs/>
      <w:color w:val="E9473F" w:themeColor="accent1"/>
      <w:lang w:val="en-AU"/>
    </w:rPr>
  </w:style>
  <w:style w:type="paragraph" w:styleId="BalloonText">
    <w:name w:val="Balloon Text"/>
    <w:basedOn w:val="Normal"/>
    <w:link w:val="BalloonTextChar"/>
    <w:uiPriority w:val="99"/>
    <w:semiHidden/>
    <w:unhideWhenUsed/>
    <w:rsid w:val="00107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6C5"/>
    <w:rPr>
      <w:rFonts w:ascii="Tahoma" w:hAnsi="Tahoma" w:cs="Tahoma"/>
      <w:sz w:val="16"/>
      <w:szCs w:val="16"/>
      <w:lang w:val="en-US"/>
    </w:rPr>
  </w:style>
  <w:style w:type="table" w:styleId="TableGrid">
    <w:name w:val="Table Grid"/>
    <w:basedOn w:val="TableNormal"/>
    <w:rsid w:val="00AF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8A2"/>
    <w:pPr>
      <w:spacing w:before="240" w:line="259" w:lineRule="auto"/>
      <w:outlineLvl w:val="9"/>
    </w:pPr>
    <w:rPr>
      <w:rFonts w:ascii="Arial" w:hAnsi="Arial"/>
      <w:bCs w:val="0"/>
      <w:color w:val="5C348B" w:themeColor="text1"/>
      <w:szCs w:val="32"/>
      <w:lang w:val="en-US"/>
    </w:rPr>
  </w:style>
  <w:style w:type="paragraph" w:styleId="TOC2">
    <w:name w:val="toc 2"/>
    <w:basedOn w:val="Normal"/>
    <w:next w:val="Normal"/>
    <w:autoRedefine/>
    <w:uiPriority w:val="39"/>
    <w:unhideWhenUsed/>
    <w:rsid w:val="00C250D0"/>
    <w:pPr>
      <w:spacing w:after="100"/>
      <w:ind w:left="220"/>
    </w:pPr>
  </w:style>
  <w:style w:type="paragraph" w:styleId="TOC3">
    <w:name w:val="toc 3"/>
    <w:basedOn w:val="Normal"/>
    <w:next w:val="Normal"/>
    <w:autoRedefine/>
    <w:uiPriority w:val="39"/>
    <w:unhideWhenUsed/>
    <w:rsid w:val="00C250D0"/>
    <w:pPr>
      <w:spacing w:after="100"/>
      <w:ind w:left="440"/>
    </w:pPr>
  </w:style>
  <w:style w:type="character" w:styleId="Hyperlink">
    <w:name w:val="Hyperlink"/>
    <w:basedOn w:val="DefaultParagraphFont"/>
    <w:uiPriority w:val="99"/>
    <w:unhideWhenUsed/>
    <w:rsid w:val="00C250D0"/>
    <w:rPr>
      <w:color w:val="000000" w:themeColor="hyperlink"/>
      <w:u w:val="single"/>
    </w:rPr>
  </w:style>
  <w:style w:type="paragraph" w:styleId="Header">
    <w:name w:val="header"/>
    <w:basedOn w:val="Normal"/>
    <w:link w:val="HeaderChar"/>
    <w:uiPriority w:val="99"/>
    <w:unhideWhenUsed/>
    <w:rsid w:val="00EF1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303"/>
    <w:rPr>
      <w:lang w:val="en-US"/>
    </w:rPr>
  </w:style>
  <w:style w:type="paragraph" w:styleId="Footer">
    <w:name w:val="footer"/>
    <w:basedOn w:val="Normal"/>
    <w:link w:val="FooterChar"/>
    <w:uiPriority w:val="99"/>
    <w:unhideWhenUsed/>
    <w:rsid w:val="00EF1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303"/>
    <w:rPr>
      <w:lang w:val="en-US"/>
    </w:rPr>
  </w:style>
  <w:style w:type="paragraph" w:styleId="TOC1">
    <w:name w:val="toc 1"/>
    <w:basedOn w:val="Normal"/>
    <w:next w:val="Normal"/>
    <w:autoRedefine/>
    <w:uiPriority w:val="39"/>
    <w:unhideWhenUsed/>
    <w:rsid w:val="00477DFB"/>
    <w:pPr>
      <w:tabs>
        <w:tab w:val="right" w:leader="dot" w:pos="9350"/>
      </w:tabs>
      <w:spacing w:after="100"/>
    </w:pPr>
    <w:rPr>
      <w:noProof/>
      <w:lang w:eastAsia="ja-JP"/>
    </w:rPr>
  </w:style>
  <w:style w:type="paragraph" w:styleId="Caption">
    <w:name w:val="caption"/>
    <w:basedOn w:val="Normal"/>
    <w:next w:val="Normal"/>
    <w:uiPriority w:val="35"/>
    <w:unhideWhenUsed/>
    <w:qFormat/>
    <w:rsid w:val="008357A6"/>
    <w:pPr>
      <w:spacing w:line="240" w:lineRule="auto"/>
    </w:pPr>
    <w:rPr>
      <w:rFonts w:ascii="Arial" w:hAnsi="Arial"/>
      <w:i/>
      <w:iCs/>
      <w:sz w:val="18"/>
      <w:szCs w:val="18"/>
    </w:rPr>
  </w:style>
  <w:style w:type="paragraph" w:styleId="ListParagraph">
    <w:name w:val="List Paragraph"/>
    <w:basedOn w:val="Normal"/>
    <w:uiPriority w:val="34"/>
    <w:qFormat/>
    <w:rsid w:val="005A398A"/>
    <w:pPr>
      <w:ind w:left="720"/>
      <w:contextualSpacing/>
    </w:pPr>
  </w:style>
  <w:style w:type="paragraph" w:styleId="TableofFigures">
    <w:name w:val="table of figures"/>
    <w:basedOn w:val="Normal"/>
    <w:next w:val="Normal"/>
    <w:uiPriority w:val="99"/>
    <w:unhideWhenUsed/>
    <w:rsid w:val="00C80BD9"/>
    <w:pPr>
      <w:spacing w:after="0"/>
    </w:pPr>
  </w:style>
  <w:style w:type="table" w:styleId="ListTable3">
    <w:name w:val="List Table 3"/>
    <w:basedOn w:val="TableNormal"/>
    <w:uiPriority w:val="48"/>
    <w:rsid w:val="00820090"/>
    <w:pPr>
      <w:spacing w:after="0" w:line="240" w:lineRule="auto"/>
    </w:pPr>
    <w:tblPr>
      <w:tblStyleRowBandSize w:val="1"/>
      <w:tblStyleColBandSize w:val="1"/>
      <w:tblBorders>
        <w:top w:val="single" w:sz="4" w:space="0" w:color="5C348B" w:themeColor="text1"/>
        <w:left w:val="single" w:sz="4" w:space="0" w:color="5C348B" w:themeColor="text1"/>
        <w:bottom w:val="single" w:sz="4" w:space="0" w:color="5C348B" w:themeColor="text1"/>
        <w:right w:val="single" w:sz="4" w:space="0" w:color="5C348B" w:themeColor="text1"/>
      </w:tblBorders>
    </w:tblPr>
    <w:tblStylePr w:type="firstRow">
      <w:rPr>
        <w:b/>
        <w:bCs/>
        <w:color w:val="D8D2C4" w:themeColor="background1"/>
      </w:rPr>
      <w:tblPr/>
      <w:tcPr>
        <w:shd w:val="clear" w:color="auto" w:fill="5C348B" w:themeFill="text1"/>
      </w:tcPr>
    </w:tblStylePr>
    <w:tblStylePr w:type="lastRow">
      <w:rPr>
        <w:b/>
        <w:bCs/>
      </w:rPr>
      <w:tblPr/>
      <w:tcPr>
        <w:tcBorders>
          <w:top w:val="double" w:sz="4" w:space="0" w:color="5C348B" w:themeColor="text1"/>
        </w:tcBorders>
        <w:shd w:val="clear" w:color="auto" w:fill="D8D2C4" w:themeFill="background1"/>
      </w:tcPr>
    </w:tblStylePr>
    <w:tblStylePr w:type="firstCol">
      <w:rPr>
        <w:b/>
        <w:bCs/>
      </w:rPr>
      <w:tblPr/>
      <w:tcPr>
        <w:tcBorders>
          <w:right w:val="nil"/>
        </w:tcBorders>
        <w:shd w:val="clear" w:color="auto" w:fill="D8D2C4" w:themeFill="background1"/>
      </w:tcPr>
    </w:tblStylePr>
    <w:tblStylePr w:type="lastCol">
      <w:rPr>
        <w:b/>
        <w:bCs/>
      </w:rPr>
      <w:tblPr/>
      <w:tcPr>
        <w:tcBorders>
          <w:left w:val="nil"/>
        </w:tcBorders>
        <w:shd w:val="clear" w:color="auto" w:fill="D8D2C4" w:themeFill="background1"/>
      </w:tcPr>
    </w:tblStylePr>
    <w:tblStylePr w:type="band1Vert">
      <w:tblPr/>
      <w:tcPr>
        <w:tcBorders>
          <w:left w:val="single" w:sz="4" w:space="0" w:color="5C348B" w:themeColor="text1"/>
          <w:right w:val="single" w:sz="4" w:space="0" w:color="5C348B" w:themeColor="text1"/>
        </w:tcBorders>
      </w:tcPr>
    </w:tblStylePr>
    <w:tblStylePr w:type="band1Horz">
      <w:tblPr/>
      <w:tcPr>
        <w:tcBorders>
          <w:top w:val="single" w:sz="4" w:space="0" w:color="5C348B" w:themeColor="text1"/>
          <w:bottom w:val="single" w:sz="4" w:space="0" w:color="5C348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348B" w:themeColor="text1"/>
          <w:left w:val="nil"/>
        </w:tcBorders>
      </w:tcPr>
    </w:tblStylePr>
    <w:tblStylePr w:type="swCell">
      <w:tblPr/>
      <w:tcPr>
        <w:tcBorders>
          <w:top w:val="double" w:sz="4" w:space="0" w:color="5C348B" w:themeColor="text1"/>
          <w:right w:val="nil"/>
        </w:tcBorders>
      </w:tcPr>
    </w:tblStylePr>
  </w:style>
  <w:style w:type="table" w:styleId="ListTable6Colorful">
    <w:name w:val="List Table 6 Colorful"/>
    <w:basedOn w:val="TableNormal"/>
    <w:uiPriority w:val="51"/>
    <w:rsid w:val="001B3D9E"/>
    <w:pPr>
      <w:spacing w:after="0" w:line="240" w:lineRule="auto"/>
    </w:pPr>
    <w:rPr>
      <w:color w:val="5C348B" w:themeColor="text1"/>
    </w:rPr>
    <w:tblPr>
      <w:tblStyleRowBandSize w:val="1"/>
      <w:tblStyleColBandSize w:val="1"/>
      <w:tblBorders>
        <w:top w:val="single" w:sz="4" w:space="0" w:color="5C348B" w:themeColor="text1"/>
        <w:bottom w:val="single" w:sz="4" w:space="0" w:color="5C348B" w:themeColor="text1"/>
      </w:tblBorders>
    </w:tblPr>
    <w:tblStylePr w:type="firstRow">
      <w:rPr>
        <w:b/>
        <w:bCs/>
      </w:rPr>
      <w:tblPr/>
      <w:tcPr>
        <w:tcBorders>
          <w:bottom w:val="single" w:sz="4" w:space="0" w:color="5C348B" w:themeColor="text1"/>
        </w:tcBorders>
      </w:tcPr>
    </w:tblStylePr>
    <w:tblStylePr w:type="lastRow">
      <w:rPr>
        <w:b/>
        <w:bCs/>
      </w:rPr>
      <w:tblPr/>
      <w:tcPr>
        <w:tcBorders>
          <w:top w:val="double" w:sz="4" w:space="0" w:color="5C348B" w:themeColor="text1"/>
        </w:tcBorders>
      </w:tcPr>
    </w:tblStylePr>
    <w:tblStylePr w:type="firstCol">
      <w:rPr>
        <w:b/>
        <w:bCs/>
      </w:rPr>
    </w:tblStylePr>
    <w:tblStylePr w:type="lastCol">
      <w:rPr>
        <w:b/>
        <w:bCs/>
      </w:rPr>
    </w:tblStylePr>
    <w:tblStylePr w:type="band1Vert">
      <w:tblPr/>
      <w:tcPr>
        <w:shd w:val="clear" w:color="auto" w:fill="DDD0ED" w:themeFill="text1" w:themeFillTint="33"/>
      </w:tcPr>
    </w:tblStylePr>
    <w:tblStylePr w:type="band1Horz">
      <w:tblPr/>
      <w:tcPr>
        <w:shd w:val="clear" w:color="auto" w:fill="DDD0ED" w:themeFill="text1" w:themeFillTint="33"/>
      </w:tcPr>
    </w:tblStylePr>
  </w:style>
  <w:style w:type="table" w:styleId="ListTable2">
    <w:name w:val="List Table 2"/>
    <w:basedOn w:val="TableNormal"/>
    <w:uiPriority w:val="47"/>
    <w:rsid w:val="007F7411"/>
    <w:pPr>
      <w:spacing w:after="0" w:line="240" w:lineRule="auto"/>
    </w:pPr>
    <w:tblPr>
      <w:tblStyleRowBandSize w:val="1"/>
      <w:tblStyleColBandSize w:val="1"/>
      <w:tblBorders>
        <w:top w:val="single" w:sz="4" w:space="0" w:color="9B73CA" w:themeColor="text1" w:themeTint="99"/>
        <w:bottom w:val="single" w:sz="4" w:space="0" w:color="9B73CA" w:themeColor="text1" w:themeTint="99"/>
        <w:insideH w:val="single" w:sz="4" w:space="0" w:color="9B73CA"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0ED" w:themeFill="text1" w:themeFillTint="33"/>
      </w:tcPr>
    </w:tblStylePr>
    <w:tblStylePr w:type="band1Horz">
      <w:tblPr/>
      <w:tcPr>
        <w:shd w:val="clear" w:color="auto" w:fill="DDD0ED" w:themeFill="text1" w:themeFillTint="33"/>
      </w:tcPr>
    </w:tblStylePr>
  </w:style>
  <w:style w:type="paragraph" w:customStyle="1" w:styleId="Pa50">
    <w:name w:val="Pa50"/>
    <w:basedOn w:val="Normal"/>
    <w:next w:val="Normal"/>
    <w:rsid w:val="00C043C8"/>
    <w:pPr>
      <w:autoSpaceDE w:val="0"/>
      <w:autoSpaceDN w:val="0"/>
      <w:adjustRightInd w:val="0"/>
      <w:spacing w:after="0" w:line="181" w:lineRule="atLeast"/>
    </w:pPr>
    <w:rPr>
      <w:rFonts w:ascii="Gotham Book" w:eastAsia="Times New Roman" w:hAnsi="Gotham Book" w:cs="Times New Roman"/>
      <w:sz w:val="24"/>
      <w:szCs w:val="24"/>
      <w:lang w:val="en-AU" w:eastAsia="en-AU"/>
    </w:rPr>
  </w:style>
  <w:style w:type="paragraph" w:customStyle="1" w:styleId="Pa51">
    <w:name w:val="Pa51"/>
    <w:basedOn w:val="Normal"/>
    <w:next w:val="Normal"/>
    <w:rsid w:val="00C043C8"/>
    <w:pPr>
      <w:autoSpaceDE w:val="0"/>
      <w:autoSpaceDN w:val="0"/>
      <w:adjustRightInd w:val="0"/>
      <w:spacing w:after="0" w:line="181" w:lineRule="atLeast"/>
    </w:pPr>
    <w:rPr>
      <w:rFonts w:ascii="Gotham Medium" w:eastAsia="Times New Roman" w:hAnsi="Gotham Medium" w:cs="Times New Roman"/>
      <w:sz w:val="24"/>
      <w:szCs w:val="24"/>
      <w:lang w:val="en-AU" w:eastAsia="en-AU"/>
    </w:rPr>
  </w:style>
  <w:style w:type="paragraph" w:customStyle="1" w:styleId="Default">
    <w:name w:val="Default"/>
    <w:rsid w:val="00C043C8"/>
    <w:pPr>
      <w:autoSpaceDE w:val="0"/>
      <w:autoSpaceDN w:val="0"/>
      <w:adjustRightInd w:val="0"/>
      <w:spacing w:after="0" w:line="240" w:lineRule="auto"/>
    </w:pPr>
    <w:rPr>
      <w:rFonts w:ascii="Gotham Book" w:eastAsia="Times New Roman" w:hAnsi="Gotham Book" w:cs="Gotham Book"/>
      <w:color w:val="000000"/>
      <w:sz w:val="24"/>
      <w:szCs w:val="24"/>
      <w:lang w:eastAsia="en-AU"/>
    </w:rPr>
  </w:style>
  <w:style w:type="character" w:customStyle="1" w:styleId="A5">
    <w:name w:val="A5"/>
    <w:rsid w:val="00C043C8"/>
    <w:rPr>
      <w:rFonts w:cs="Gotham Book"/>
      <w:color w:val="000000"/>
      <w:sz w:val="18"/>
      <w:szCs w:val="18"/>
    </w:rPr>
  </w:style>
  <w:style w:type="character" w:customStyle="1" w:styleId="A11">
    <w:name w:val="A11"/>
    <w:rsid w:val="00C043C8"/>
    <w:rPr>
      <w:rFonts w:cs="Gotham Book"/>
      <w:color w:val="000000"/>
      <w:sz w:val="16"/>
      <w:szCs w:val="16"/>
    </w:rPr>
  </w:style>
  <w:style w:type="table" w:styleId="GridTable6Colorful">
    <w:name w:val="Grid Table 6 Colorful"/>
    <w:basedOn w:val="TableNormal"/>
    <w:uiPriority w:val="51"/>
    <w:rsid w:val="003860F2"/>
    <w:pPr>
      <w:spacing w:after="0" w:line="240" w:lineRule="auto"/>
    </w:pPr>
    <w:tblPr>
      <w:tblStyleRowBandSize w:val="1"/>
      <w:tblStyleColBandSize w:val="1"/>
      <w:tblBorders>
        <w:top w:val="single" w:sz="4" w:space="0" w:color="78787F" w:themeColor="text2"/>
        <w:left w:val="single" w:sz="4" w:space="0" w:color="78787F" w:themeColor="text2"/>
        <w:bottom w:val="single" w:sz="4" w:space="0" w:color="78787F" w:themeColor="text2"/>
        <w:right w:val="single" w:sz="4" w:space="0" w:color="78787F" w:themeColor="text2"/>
        <w:insideH w:val="single" w:sz="4" w:space="0" w:color="78787F" w:themeColor="text2"/>
        <w:insideV w:val="single" w:sz="4" w:space="0" w:color="78787F" w:themeColor="text2"/>
      </w:tblBorders>
    </w:tblPr>
    <w:tblStylePr w:type="firstRow">
      <w:rPr>
        <w:b/>
        <w:bCs/>
      </w:rPr>
      <w:tblPr/>
      <w:tcPr>
        <w:tcBorders>
          <w:bottom w:val="single" w:sz="12" w:space="0" w:color="9B73CA" w:themeColor="text1" w:themeTint="99"/>
        </w:tcBorders>
      </w:tcPr>
    </w:tblStylePr>
    <w:tblStylePr w:type="lastRow">
      <w:rPr>
        <w:b/>
        <w:bCs/>
      </w:rPr>
      <w:tblPr/>
      <w:tcPr>
        <w:tcBorders>
          <w:top w:val="double" w:sz="4" w:space="0" w:color="9B73CA" w:themeColor="text1" w:themeTint="99"/>
        </w:tcBorders>
      </w:tcPr>
    </w:tblStylePr>
    <w:tblStylePr w:type="firstCol">
      <w:rPr>
        <w:b/>
        <w:bCs/>
      </w:rPr>
    </w:tblStylePr>
    <w:tblStylePr w:type="lastCol">
      <w:rPr>
        <w:b/>
        <w:bCs/>
      </w:rPr>
    </w:tblStylePr>
    <w:tblStylePr w:type="band1Vert">
      <w:tblPr/>
      <w:tcPr>
        <w:shd w:val="clear" w:color="auto" w:fill="DDD0ED" w:themeFill="text1" w:themeFillTint="33"/>
      </w:tcPr>
    </w:tblStylePr>
    <w:tblStylePr w:type="band1Horz">
      <w:tblPr/>
      <w:tcPr>
        <w:shd w:val="clear" w:color="auto" w:fill="DDD0ED" w:themeFill="text1" w:themeFillTint="33"/>
      </w:tcPr>
    </w:tblStylePr>
  </w:style>
  <w:style w:type="table" w:styleId="GridTable1Light">
    <w:name w:val="Grid Table 1 Light"/>
    <w:basedOn w:val="TableNormal"/>
    <w:uiPriority w:val="46"/>
    <w:rsid w:val="003105D5"/>
    <w:pPr>
      <w:spacing w:after="0" w:line="240" w:lineRule="auto"/>
    </w:pPr>
    <w:tblPr>
      <w:tblStyleRowBandSize w:val="1"/>
      <w:tblStyleColBandSize w:val="1"/>
      <w:tblBorders>
        <w:top w:val="single" w:sz="4" w:space="0" w:color="BCA2DC" w:themeColor="text1" w:themeTint="66"/>
        <w:left w:val="single" w:sz="4" w:space="0" w:color="BCA2DC" w:themeColor="text1" w:themeTint="66"/>
        <w:bottom w:val="single" w:sz="4" w:space="0" w:color="BCA2DC" w:themeColor="text1" w:themeTint="66"/>
        <w:right w:val="single" w:sz="4" w:space="0" w:color="BCA2DC" w:themeColor="text1" w:themeTint="66"/>
        <w:insideH w:val="single" w:sz="4" w:space="0" w:color="BCA2DC" w:themeColor="text1" w:themeTint="66"/>
        <w:insideV w:val="single" w:sz="4" w:space="0" w:color="BCA2DC" w:themeColor="text1" w:themeTint="66"/>
      </w:tblBorders>
    </w:tblPr>
    <w:tblStylePr w:type="firstRow">
      <w:rPr>
        <w:b/>
        <w:bCs/>
      </w:rPr>
      <w:tblPr/>
      <w:tcPr>
        <w:tcBorders>
          <w:bottom w:val="single" w:sz="12" w:space="0" w:color="9B73CA" w:themeColor="text1" w:themeTint="99"/>
        </w:tcBorders>
      </w:tcPr>
    </w:tblStylePr>
    <w:tblStylePr w:type="lastRow">
      <w:rPr>
        <w:b/>
        <w:bCs/>
      </w:rPr>
      <w:tblPr/>
      <w:tcPr>
        <w:tcBorders>
          <w:top w:val="double" w:sz="2" w:space="0" w:color="9B73CA"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F2F4D"/>
    <w:rPr>
      <w:sz w:val="16"/>
      <w:szCs w:val="16"/>
    </w:rPr>
  </w:style>
  <w:style w:type="paragraph" w:styleId="CommentText">
    <w:name w:val="annotation text"/>
    <w:basedOn w:val="Normal"/>
    <w:link w:val="CommentTextChar"/>
    <w:uiPriority w:val="99"/>
    <w:semiHidden/>
    <w:unhideWhenUsed/>
    <w:rsid w:val="009F2F4D"/>
    <w:pPr>
      <w:spacing w:line="240" w:lineRule="auto"/>
    </w:pPr>
    <w:rPr>
      <w:sz w:val="20"/>
      <w:szCs w:val="20"/>
    </w:rPr>
  </w:style>
  <w:style w:type="character" w:customStyle="1" w:styleId="CommentTextChar">
    <w:name w:val="Comment Text Char"/>
    <w:basedOn w:val="DefaultParagraphFont"/>
    <w:link w:val="CommentText"/>
    <w:uiPriority w:val="99"/>
    <w:semiHidden/>
    <w:rsid w:val="009F2F4D"/>
    <w:rPr>
      <w:sz w:val="20"/>
      <w:szCs w:val="20"/>
      <w:lang w:val="en-US"/>
    </w:rPr>
  </w:style>
  <w:style w:type="paragraph" w:styleId="CommentSubject">
    <w:name w:val="annotation subject"/>
    <w:basedOn w:val="CommentText"/>
    <w:next w:val="CommentText"/>
    <w:link w:val="CommentSubjectChar"/>
    <w:uiPriority w:val="99"/>
    <w:semiHidden/>
    <w:unhideWhenUsed/>
    <w:rsid w:val="009F2F4D"/>
    <w:rPr>
      <w:b/>
      <w:bCs/>
    </w:rPr>
  </w:style>
  <w:style w:type="character" w:customStyle="1" w:styleId="CommentSubjectChar">
    <w:name w:val="Comment Subject Char"/>
    <w:basedOn w:val="CommentTextChar"/>
    <w:link w:val="CommentSubject"/>
    <w:uiPriority w:val="99"/>
    <w:semiHidden/>
    <w:rsid w:val="009F2F4D"/>
    <w:rPr>
      <w:b/>
      <w:bCs/>
      <w:sz w:val="20"/>
      <w:szCs w:val="20"/>
      <w:lang w:val="en-US"/>
    </w:rPr>
  </w:style>
  <w:style w:type="paragraph" w:styleId="FootnoteText">
    <w:name w:val="footnote text"/>
    <w:basedOn w:val="Normal"/>
    <w:link w:val="FootnoteTextChar"/>
    <w:uiPriority w:val="99"/>
    <w:semiHidden/>
    <w:unhideWhenUsed/>
    <w:rsid w:val="002D09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93F"/>
    <w:rPr>
      <w:sz w:val="20"/>
      <w:szCs w:val="20"/>
      <w:lang w:val="en-US"/>
    </w:rPr>
  </w:style>
  <w:style w:type="character" w:styleId="FootnoteReference">
    <w:name w:val="footnote reference"/>
    <w:basedOn w:val="DefaultParagraphFont"/>
    <w:uiPriority w:val="99"/>
    <w:semiHidden/>
    <w:unhideWhenUsed/>
    <w:rsid w:val="002D093F"/>
    <w:rPr>
      <w:vertAlign w:val="superscript"/>
    </w:rPr>
  </w:style>
  <w:style w:type="table" w:styleId="PlainTable2">
    <w:name w:val="Plain Table 2"/>
    <w:basedOn w:val="TableNormal"/>
    <w:uiPriority w:val="42"/>
    <w:rsid w:val="00E66F91"/>
    <w:pPr>
      <w:spacing w:after="0" w:line="240" w:lineRule="auto"/>
    </w:pPr>
    <w:tblPr>
      <w:tblStyleRowBandSize w:val="1"/>
      <w:tblStyleColBandSize w:val="1"/>
      <w:tblBorders>
        <w:top w:val="single" w:sz="4" w:space="0" w:color="AB8AD3" w:themeColor="text1" w:themeTint="80"/>
        <w:bottom w:val="single" w:sz="4" w:space="0" w:color="AB8AD3" w:themeColor="text1" w:themeTint="80"/>
      </w:tblBorders>
    </w:tblPr>
    <w:tblStylePr w:type="firstRow">
      <w:rPr>
        <w:b/>
        <w:bCs/>
      </w:rPr>
      <w:tblPr/>
      <w:tcPr>
        <w:tcBorders>
          <w:bottom w:val="single" w:sz="4" w:space="0" w:color="AB8AD3" w:themeColor="text1" w:themeTint="80"/>
        </w:tcBorders>
      </w:tcPr>
    </w:tblStylePr>
    <w:tblStylePr w:type="lastRow">
      <w:rPr>
        <w:b/>
        <w:bCs/>
      </w:rPr>
      <w:tblPr/>
      <w:tcPr>
        <w:tcBorders>
          <w:top w:val="single" w:sz="4" w:space="0" w:color="AB8AD3" w:themeColor="text1" w:themeTint="80"/>
        </w:tcBorders>
      </w:tcPr>
    </w:tblStylePr>
    <w:tblStylePr w:type="firstCol">
      <w:rPr>
        <w:b/>
        <w:bCs/>
      </w:rPr>
    </w:tblStylePr>
    <w:tblStylePr w:type="lastCol">
      <w:rPr>
        <w:b/>
        <w:bCs/>
      </w:rPr>
    </w:tblStylePr>
    <w:tblStylePr w:type="band1Vert">
      <w:tblPr/>
      <w:tcPr>
        <w:tcBorders>
          <w:left w:val="single" w:sz="4" w:space="0" w:color="AB8AD3" w:themeColor="text1" w:themeTint="80"/>
          <w:right w:val="single" w:sz="4" w:space="0" w:color="AB8AD3" w:themeColor="text1" w:themeTint="80"/>
        </w:tcBorders>
      </w:tcPr>
    </w:tblStylePr>
    <w:tblStylePr w:type="band2Vert">
      <w:tblPr/>
      <w:tcPr>
        <w:tcBorders>
          <w:left w:val="single" w:sz="4" w:space="0" w:color="AB8AD3" w:themeColor="text1" w:themeTint="80"/>
          <w:right w:val="single" w:sz="4" w:space="0" w:color="AB8AD3" w:themeColor="text1" w:themeTint="80"/>
        </w:tcBorders>
      </w:tcPr>
    </w:tblStylePr>
    <w:tblStylePr w:type="band1Horz">
      <w:tblPr/>
      <w:tcPr>
        <w:tcBorders>
          <w:top w:val="single" w:sz="4" w:space="0" w:color="AB8AD3" w:themeColor="text1" w:themeTint="80"/>
          <w:bottom w:val="single" w:sz="4" w:space="0" w:color="AB8AD3" w:themeColor="text1" w:themeTint="80"/>
        </w:tcBorders>
      </w:tcPr>
    </w:tblStylePr>
  </w:style>
  <w:style w:type="table" w:styleId="PlainTable1">
    <w:name w:val="Plain Table 1"/>
    <w:basedOn w:val="TableNormal"/>
    <w:uiPriority w:val="41"/>
    <w:rsid w:val="00CA2C29"/>
    <w:pPr>
      <w:spacing w:after="0" w:line="240" w:lineRule="auto"/>
    </w:pPr>
    <w:tblPr>
      <w:tblStyleRowBandSize w:val="1"/>
      <w:tblStyleColBandSize w:val="1"/>
      <w:tblBorders>
        <w:top w:val="single" w:sz="4" w:space="0" w:color="AEA285" w:themeColor="background1" w:themeShade="BF"/>
        <w:left w:val="single" w:sz="4" w:space="0" w:color="AEA285" w:themeColor="background1" w:themeShade="BF"/>
        <w:bottom w:val="single" w:sz="4" w:space="0" w:color="AEA285" w:themeColor="background1" w:themeShade="BF"/>
        <w:right w:val="single" w:sz="4" w:space="0" w:color="AEA285" w:themeColor="background1" w:themeShade="BF"/>
        <w:insideH w:val="single" w:sz="4" w:space="0" w:color="AEA285" w:themeColor="background1" w:themeShade="BF"/>
        <w:insideV w:val="single" w:sz="4" w:space="0" w:color="AEA285" w:themeColor="background1" w:themeShade="BF"/>
      </w:tblBorders>
    </w:tblPr>
    <w:tblStylePr w:type="firstRow">
      <w:rPr>
        <w:b/>
        <w:bCs/>
      </w:rPr>
    </w:tblStylePr>
    <w:tblStylePr w:type="lastRow">
      <w:rPr>
        <w:b/>
        <w:bCs/>
      </w:rPr>
      <w:tblPr/>
      <w:tcPr>
        <w:tcBorders>
          <w:top w:val="double" w:sz="4" w:space="0" w:color="AEA285" w:themeColor="background1" w:themeShade="BF"/>
        </w:tcBorders>
      </w:tcPr>
    </w:tblStylePr>
    <w:tblStylePr w:type="firstCol">
      <w:rPr>
        <w:b/>
        <w:bCs/>
      </w:rPr>
    </w:tblStylePr>
    <w:tblStylePr w:type="lastCol">
      <w:rPr>
        <w:b/>
        <w:bCs/>
      </w:rPr>
    </w:tblStylePr>
    <w:tblStylePr w:type="band1Vert">
      <w:tblPr/>
      <w:tcPr>
        <w:shd w:val="clear" w:color="auto" w:fill="CFC8B7" w:themeFill="background1" w:themeFillShade="F2"/>
      </w:tcPr>
    </w:tblStylePr>
    <w:tblStylePr w:type="band1Horz">
      <w:tblPr/>
      <w:tcPr>
        <w:shd w:val="clear" w:color="auto" w:fill="CFC8B7" w:themeFill="background1" w:themeFillShade="F2"/>
      </w:tcPr>
    </w:tblStylePr>
  </w:style>
  <w:style w:type="table" w:styleId="GridTable1Light-Accent3">
    <w:name w:val="Grid Table 1 Light Accent 3"/>
    <w:basedOn w:val="TableNormal"/>
    <w:uiPriority w:val="46"/>
    <w:rsid w:val="00D023DC"/>
    <w:pPr>
      <w:spacing w:after="0" w:line="240" w:lineRule="auto"/>
    </w:pPr>
    <w:tblPr>
      <w:tblStyleRowBandSize w:val="1"/>
      <w:tblStyleColBandSize w:val="1"/>
      <w:tblBorders>
        <w:top w:val="single" w:sz="4" w:space="0" w:color="CDC7B8" w:themeColor="accent3" w:themeTint="66"/>
        <w:left w:val="single" w:sz="4" w:space="0" w:color="CDC7B8" w:themeColor="accent3" w:themeTint="66"/>
        <w:bottom w:val="single" w:sz="4" w:space="0" w:color="CDC7B8" w:themeColor="accent3" w:themeTint="66"/>
        <w:right w:val="single" w:sz="4" w:space="0" w:color="CDC7B8" w:themeColor="accent3" w:themeTint="66"/>
        <w:insideH w:val="single" w:sz="4" w:space="0" w:color="CDC7B8" w:themeColor="accent3" w:themeTint="66"/>
        <w:insideV w:val="single" w:sz="4" w:space="0" w:color="CDC7B8" w:themeColor="accent3" w:themeTint="66"/>
      </w:tblBorders>
    </w:tblPr>
    <w:tblStylePr w:type="firstRow">
      <w:rPr>
        <w:b/>
        <w:bCs/>
      </w:rPr>
      <w:tblPr/>
      <w:tcPr>
        <w:tcBorders>
          <w:bottom w:val="single" w:sz="12" w:space="0" w:color="B5AC95" w:themeColor="accent3" w:themeTint="99"/>
        </w:tcBorders>
      </w:tcPr>
    </w:tblStylePr>
    <w:tblStylePr w:type="lastRow">
      <w:rPr>
        <w:b/>
        <w:bCs/>
      </w:rPr>
      <w:tblPr/>
      <w:tcPr>
        <w:tcBorders>
          <w:top w:val="double" w:sz="2" w:space="0" w:color="B5AC95"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52A80"/>
    <w:pPr>
      <w:spacing w:after="0" w:line="240" w:lineRule="auto"/>
    </w:pPr>
    <w:tblPr>
      <w:tblBorders>
        <w:top w:val="single" w:sz="4" w:space="0" w:color="AEA285" w:themeColor="background1" w:themeShade="BF"/>
        <w:left w:val="single" w:sz="4" w:space="0" w:color="AEA285" w:themeColor="background1" w:themeShade="BF"/>
        <w:bottom w:val="single" w:sz="4" w:space="0" w:color="AEA285" w:themeColor="background1" w:themeShade="BF"/>
        <w:right w:val="single" w:sz="4" w:space="0" w:color="AEA285" w:themeColor="background1" w:themeShade="BF"/>
        <w:insideH w:val="single" w:sz="4" w:space="0" w:color="AEA285" w:themeColor="background1" w:themeShade="BF"/>
        <w:insideV w:val="single" w:sz="4" w:space="0" w:color="AEA285" w:themeColor="background1" w:themeShade="BF"/>
      </w:tblBorders>
    </w:tblPr>
  </w:style>
  <w:style w:type="paragraph" w:styleId="BodyText">
    <w:name w:val="Body Text"/>
    <w:basedOn w:val="Normal"/>
    <w:link w:val="BodyTextChar"/>
    <w:uiPriority w:val="1"/>
    <w:qFormat/>
    <w:rsid w:val="0018388E"/>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18388E"/>
    <w:rPr>
      <w:rFonts w:ascii="Arial" w:eastAsia="Arial" w:hAnsi="Arial" w:cs="Arial"/>
      <w:lang w:val="en-US" w:bidi="en-US"/>
    </w:rPr>
  </w:style>
  <w:style w:type="table" w:styleId="GridTable4-Accent1">
    <w:name w:val="Grid Table 4 Accent 1"/>
    <w:basedOn w:val="TableNormal"/>
    <w:uiPriority w:val="49"/>
    <w:rsid w:val="00AF7AEB"/>
    <w:pPr>
      <w:spacing w:after="0" w:line="240" w:lineRule="auto"/>
    </w:pPr>
    <w:tblPr>
      <w:tblStyleRowBandSize w:val="1"/>
      <w:tblStyleColBandSize w:val="1"/>
      <w:tblBorders>
        <w:top w:val="single" w:sz="4" w:space="0" w:color="F1908B" w:themeColor="accent1" w:themeTint="99"/>
        <w:left w:val="single" w:sz="4" w:space="0" w:color="F1908B" w:themeColor="accent1" w:themeTint="99"/>
        <w:bottom w:val="single" w:sz="4" w:space="0" w:color="F1908B" w:themeColor="accent1" w:themeTint="99"/>
        <w:right w:val="single" w:sz="4" w:space="0" w:color="F1908B" w:themeColor="accent1" w:themeTint="99"/>
        <w:insideH w:val="single" w:sz="4" w:space="0" w:color="F1908B" w:themeColor="accent1" w:themeTint="99"/>
        <w:insideV w:val="single" w:sz="4" w:space="0" w:color="F1908B" w:themeColor="accent1" w:themeTint="99"/>
      </w:tblBorders>
    </w:tblPr>
    <w:tblStylePr w:type="firstRow">
      <w:rPr>
        <w:b/>
        <w:bCs/>
        <w:color w:val="D8D2C4" w:themeColor="background1"/>
      </w:rPr>
      <w:tblPr/>
      <w:tcPr>
        <w:tcBorders>
          <w:top w:val="single" w:sz="4" w:space="0" w:color="E9473F" w:themeColor="accent1"/>
          <w:left w:val="single" w:sz="4" w:space="0" w:color="E9473F" w:themeColor="accent1"/>
          <w:bottom w:val="single" w:sz="4" w:space="0" w:color="E9473F" w:themeColor="accent1"/>
          <w:right w:val="single" w:sz="4" w:space="0" w:color="E9473F" w:themeColor="accent1"/>
          <w:insideH w:val="nil"/>
          <w:insideV w:val="nil"/>
        </w:tcBorders>
        <w:shd w:val="clear" w:color="auto" w:fill="E9473F" w:themeFill="accent1"/>
      </w:tcPr>
    </w:tblStylePr>
    <w:tblStylePr w:type="lastRow">
      <w:rPr>
        <w:b/>
        <w:bCs/>
      </w:rPr>
      <w:tblPr/>
      <w:tcPr>
        <w:tcBorders>
          <w:top w:val="double" w:sz="4" w:space="0" w:color="E9473F" w:themeColor="accent1"/>
        </w:tcBorders>
      </w:tcPr>
    </w:tblStylePr>
    <w:tblStylePr w:type="firstCol">
      <w:rPr>
        <w:b/>
        <w:bCs/>
      </w:rPr>
    </w:tblStylePr>
    <w:tblStylePr w:type="lastCol">
      <w:rPr>
        <w:b/>
        <w:bCs/>
      </w:rPr>
    </w:tblStylePr>
    <w:tblStylePr w:type="band1Vert">
      <w:tblPr/>
      <w:tcPr>
        <w:shd w:val="clear" w:color="auto" w:fill="FAD9D8" w:themeFill="accent1" w:themeFillTint="33"/>
      </w:tcPr>
    </w:tblStylePr>
    <w:tblStylePr w:type="band1Horz">
      <w:tblPr/>
      <w:tcPr>
        <w:shd w:val="clear" w:color="auto" w:fill="FAD9D8" w:themeFill="accent1" w:themeFillTint="33"/>
      </w:tcPr>
    </w:tblStylePr>
  </w:style>
  <w:style w:type="paragraph" w:customStyle="1" w:styleId="TableParagraph">
    <w:name w:val="Table Paragraph"/>
    <w:basedOn w:val="Normal"/>
    <w:uiPriority w:val="1"/>
    <w:qFormat/>
    <w:rsid w:val="00AD0E89"/>
    <w:pPr>
      <w:widowControl w:val="0"/>
      <w:autoSpaceDE w:val="0"/>
      <w:autoSpaceDN w:val="0"/>
      <w:spacing w:before="59" w:after="0" w:line="240" w:lineRule="auto"/>
      <w:ind w:left="107"/>
    </w:pPr>
    <w:rPr>
      <w:rFonts w:ascii="Arial" w:eastAsia="Arial" w:hAnsi="Arial" w:cs="Arial"/>
      <w:lang w:bidi="en-US"/>
    </w:rPr>
  </w:style>
  <w:style w:type="character" w:customStyle="1" w:styleId="Heading4Char">
    <w:name w:val="Heading 4 Char"/>
    <w:basedOn w:val="DefaultParagraphFont"/>
    <w:link w:val="Heading4"/>
    <w:uiPriority w:val="9"/>
    <w:semiHidden/>
    <w:rsid w:val="00AD1F00"/>
    <w:rPr>
      <w:rFonts w:asciiTheme="majorHAnsi" w:eastAsiaTheme="majorEastAsia" w:hAnsiTheme="majorHAnsi" w:cstheme="majorBidi"/>
      <w:i/>
      <w:iCs/>
      <w:color w:val="C61F16" w:themeColor="accent1" w:themeShade="BF"/>
      <w:lang w:val="en-US"/>
    </w:rPr>
  </w:style>
  <w:style w:type="paragraph" w:customStyle="1" w:styleId="Table-Text">
    <w:name w:val="Table - Text"/>
    <w:qFormat/>
    <w:rsid w:val="00D34A11"/>
    <w:pPr>
      <w:tabs>
        <w:tab w:val="left" w:pos="284"/>
      </w:tabs>
      <w:spacing w:before="120" w:after="120" w:line="280" w:lineRule="exact"/>
    </w:pPr>
    <w:rPr>
      <w:rFonts w:ascii="Century Gothic" w:eastAsiaTheme="minorEastAsia" w:hAnsi="Century Gothic"/>
      <w:sz w:val="20"/>
      <w:szCs w:val="24"/>
      <w:lang w:val="en-US"/>
    </w:rPr>
  </w:style>
  <w:style w:type="paragraph" w:styleId="TOC7">
    <w:name w:val="toc 7"/>
    <w:basedOn w:val="Normal"/>
    <w:next w:val="Normal"/>
    <w:autoRedefine/>
    <w:uiPriority w:val="39"/>
    <w:semiHidden/>
    <w:unhideWhenUsed/>
    <w:rsid w:val="00484540"/>
    <w:pPr>
      <w:spacing w:after="100"/>
      <w:ind w:left="1320"/>
    </w:pPr>
  </w:style>
  <w:style w:type="paragraph" w:customStyle="1" w:styleId="Meconetext">
    <w:name w:val="Mecone text"/>
    <w:basedOn w:val="Normal"/>
    <w:qFormat/>
    <w:rsid w:val="00484540"/>
    <w:pPr>
      <w:spacing w:before="120" w:after="120" w:line="240" w:lineRule="auto"/>
      <w:ind w:left="284"/>
      <w:jc w:val="both"/>
    </w:pPr>
    <w:rPr>
      <w:rFonts w:ascii="Century Gothic" w:eastAsia="MS Mincho" w:hAnsi="Century Gothic" w:cs="Arial"/>
      <w:sz w:val="20"/>
      <w:szCs w:val="20"/>
      <w:lang w:val="en-AU" w:eastAsia="en-GB"/>
    </w:rPr>
  </w:style>
  <w:style w:type="paragraph" w:customStyle="1" w:styleId="MeconeFigure">
    <w:name w:val="Mecone Figure"/>
    <w:basedOn w:val="Normal"/>
    <w:next w:val="Normal"/>
    <w:qFormat/>
    <w:rsid w:val="00484540"/>
    <w:pPr>
      <w:keepLines/>
      <w:widowControl w:val="0"/>
      <w:tabs>
        <w:tab w:val="left" w:pos="0"/>
        <w:tab w:val="left" w:pos="567"/>
        <w:tab w:val="left" w:pos="709"/>
        <w:tab w:val="left" w:pos="851"/>
        <w:tab w:val="left" w:pos="1418"/>
        <w:tab w:val="left" w:pos="7088"/>
      </w:tabs>
      <w:spacing w:before="120" w:after="0" w:line="240" w:lineRule="auto"/>
      <w:ind w:left="284"/>
    </w:pPr>
    <w:rPr>
      <w:rFonts w:ascii="Century Gothic" w:eastAsia="MS Mincho" w:hAnsi="Century Gothic" w:cs="Times New Roman"/>
      <w:bCs/>
      <w:color w:val="5C348B" w:themeColor="text1"/>
      <w:sz w:val="18"/>
      <w:szCs w:val="18"/>
      <w:lang w:val="en-AU" w:eastAsia="en-GB"/>
    </w:rPr>
  </w:style>
  <w:style w:type="paragraph" w:customStyle="1" w:styleId="Style4">
    <w:name w:val="Style 4"/>
    <w:basedOn w:val="Normal"/>
    <w:qFormat/>
    <w:rsid w:val="00484540"/>
    <w:pPr>
      <w:spacing w:before="120" w:after="0" w:line="240" w:lineRule="auto"/>
      <w:ind w:left="284"/>
    </w:pPr>
    <w:rPr>
      <w:rFonts w:ascii="Century Gothic" w:eastAsia="MS Mincho" w:hAnsi="Century Gothic" w:cs="Times New Roman"/>
      <w:sz w:val="24"/>
      <w:szCs w:val="24"/>
      <w:lang w:val="en-AU" w:eastAsia="en-GB"/>
    </w:rPr>
  </w:style>
  <w:style w:type="numbering" w:customStyle="1" w:styleId="MeconeList">
    <w:name w:val="Mecone List"/>
    <w:basedOn w:val="NoList"/>
    <w:uiPriority w:val="99"/>
    <w:rsid w:val="0030431B"/>
    <w:pPr>
      <w:numPr>
        <w:numId w:val="26"/>
      </w:numPr>
    </w:pPr>
  </w:style>
  <w:style w:type="paragraph" w:customStyle="1" w:styleId="Chapterheading1Mecone">
    <w:name w:val="Chapter heading 1 Mecone"/>
    <w:basedOn w:val="Normal"/>
    <w:qFormat/>
    <w:rsid w:val="0030431B"/>
    <w:pPr>
      <w:keepNext/>
      <w:numPr>
        <w:numId w:val="26"/>
      </w:numPr>
      <w:spacing w:before="240" w:after="120" w:line="240" w:lineRule="auto"/>
      <w:outlineLvl w:val="0"/>
    </w:pPr>
    <w:rPr>
      <w:rFonts w:ascii="Century Gothic" w:eastAsiaTheme="minorEastAsia" w:hAnsi="Century Gothic" w:cs="Swiss 721 BT"/>
      <w:bCs/>
      <w:color w:val="6CB744"/>
      <w:kern w:val="32"/>
      <w:sz w:val="36"/>
      <w:szCs w:val="36"/>
      <w:lang w:val="en-AU" w:eastAsia="en-GB"/>
    </w:rPr>
  </w:style>
  <w:style w:type="paragraph" w:customStyle="1" w:styleId="SectionHeadingMecone">
    <w:name w:val="Section Heading Mecone"/>
    <w:basedOn w:val="Normal"/>
    <w:qFormat/>
    <w:rsid w:val="0030431B"/>
    <w:pPr>
      <w:keepNext/>
      <w:numPr>
        <w:ilvl w:val="1"/>
        <w:numId w:val="26"/>
      </w:numPr>
      <w:spacing w:before="240" w:after="120" w:line="240" w:lineRule="auto"/>
      <w:outlineLvl w:val="1"/>
    </w:pPr>
    <w:rPr>
      <w:rFonts w:ascii="Century Gothic" w:eastAsia="Times New Roman" w:hAnsi="Century Gothic" w:cs="Swiss 721 BT"/>
      <w:bCs/>
      <w:color w:val="6CB744"/>
      <w:sz w:val="28"/>
      <w:szCs w:val="28"/>
      <w:lang w:val="en-AU" w:eastAsia="en-GB"/>
    </w:rPr>
  </w:style>
  <w:style w:type="paragraph" w:customStyle="1" w:styleId="Sectionheadinglvl2-Mecone">
    <w:name w:val="Section heading lvl 2 - Mecone"/>
    <w:basedOn w:val="Normal"/>
    <w:qFormat/>
    <w:rsid w:val="0030431B"/>
    <w:pPr>
      <w:keepNext/>
      <w:numPr>
        <w:ilvl w:val="2"/>
        <w:numId w:val="26"/>
      </w:numPr>
      <w:spacing w:before="240" w:after="120" w:line="240" w:lineRule="auto"/>
      <w:outlineLvl w:val="1"/>
    </w:pPr>
    <w:rPr>
      <w:rFonts w:ascii="Century Gothic" w:eastAsia="Times New Roman" w:hAnsi="Century Gothic" w:cs="Swiss 721 BT"/>
      <w:bCs/>
      <w:color w:val="5C348B" w:themeColor="text1"/>
      <w:sz w:val="24"/>
      <w:szCs w:val="24"/>
      <w:lang w:val="en-AU" w:eastAsia="en-GB"/>
    </w:rPr>
  </w:style>
  <w:style w:type="paragraph" w:customStyle="1" w:styleId="MeconeTable">
    <w:name w:val="Mecone Table"/>
    <w:basedOn w:val="Meconetext"/>
    <w:qFormat/>
    <w:rsid w:val="00A22156"/>
    <w:pPr>
      <w:numPr>
        <w:numId w:val="46"/>
      </w:numPr>
    </w:pPr>
    <w:rPr>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9963">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sChild>
        <w:div w:id="370879370">
          <w:marLeft w:val="0"/>
          <w:marRight w:val="0"/>
          <w:marTop w:val="0"/>
          <w:marBottom w:val="0"/>
          <w:divBdr>
            <w:top w:val="none" w:sz="0" w:space="0" w:color="auto"/>
            <w:left w:val="none" w:sz="0" w:space="0" w:color="auto"/>
            <w:bottom w:val="none" w:sz="0" w:space="0" w:color="auto"/>
            <w:right w:val="none" w:sz="0" w:space="0" w:color="auto"/>
          </w:divBdr>
          <w:divsChild>
            <w:div w:id="4121614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0186687">
          <w:marLeft w:val="0"/>
          <w:marRight w:val="0"/>
          <w:marTop w:val="0"/>
          <w:marBottom w:val="0"/>
          <w:divBdr>
            <w:top w:val="none" w:sz="0" w:space="0" w:color="auto"/>
            <w:left w:val="none" w:sz="0" w:space="0" w:color="auto"/>
            <w:bottom w:val="none" w:sz="0" w:space="0" w:color="auto"/>
            <w:right w:val="none" w:sz="0" w:space="0" w:color="auto"/>
          </w:divBdr>
          <w:divsChild>
            <w:div w:id="1529876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5995651">
          <w:marLeft w:val="0"/>
          <w:marRight w:val="0"/>
          <w:marTop w:val="0"/>
          <w:marBottom w:val="0"/>
          <w:divBdr>
            <w:top w:val="none" w:sz="0" w:space="0" w:color="auto"/>
            <w:left w:val="none" w:sz="0" w:space="0" w:color="auto"/>
            <w:bottom w:val="none" w:sz="0" w:space="0" w:color="auto"/>
            <w:right w:val="none" w:sz="0" w:space="0" w:color="auto"/>
          </w:divBdr>
          <w:divsChild>
            <w:div w:id="7302313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8303165">
      <w:bodyDiv w:val="1"/>
      <w:marLeft w:val="0"/>
      <w:marRight w:val="0"/>
      <w:marTop w:val="0"/>
      <w:marBottom w:val="0"/>
      <w:divBdr>
        <w:top w:val="none" w:sz="0" w:space="0" w:color="auto"/>
        <w:left w:val="none" w:sz="0" w:space="0" w:color="auto"/>
        <w:bottom w:val="none" w:sz="0" w:space="0" w:color="auto"/>
        <w:right w:val="none" w:sz="0" w:space="0" w:color="auto"/>
      </w:divBdr>
      <w:divsChild>
        <w:div w:id="1926499778">
          <w:marLeft w:val="0"/>
          <w:marRight w:val="0"/>
          <w:marTop w:val="0"/>
          <w:marBottom w:val="0"/>
          <w:divBdr>
            <w:top w:val="none" w:sz="0" w:space="0" w:color="auto"/>
            <w:left w:val="none" w:sz="0" w:space="0" w:color="auto"/>
            <w:bottom w:val="none" w:sz="0" w:space="0" w:color="auto"/>
            <w:right w:val="none" w:sz="0" w:space="0" w:color="auto"/>
          </w:divBdr>
          <w:divsChild>
            <w:div w:id="17745874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36179260">
      <w:bodyDiv w:val="1"/>
      <w:marLeft w:val="0"/>
      <w:marRight w:val="0"/>
      <w:marTop w:val="0"/>
      <w:marBottom w:val="0"/>
      <w:divBdr>
        <w:top w:val="none" w:sz="0" w:space="0" w:color="auto"/>
        <w:left w:val="none" w:sz="0" w:space="0" w:color="auto"/>
        <w:bottom w:val="none" w:sz="0" w:space="0" w:color="auto"/>
        <w:right w:val="none" w:sz="0" w:space="0" w:color="auto"/>
      </w:divBdr>
    </w:div>
    <w:div w:id="794447888">
      <w:bodyDiv w:val="1"/>
      <w:marLeft w:val="0"/>
      <w:marRight w:val="0"/>
      <w:marTop w:val="0"/>
      <w:marBottom w:val="0"/>
      <w:divBdr>
        <w:top w:val="none" w:sz="0" w:space="0" w:color="auto"/>
        <w:left w:val="none" w:sz="0" w:space="0" w:color="auto"/>
        <w:bottom w:val="none" w:sz="0" w:space="0" w:color="auto"/>
        <w:right w:val="none" w:sz="0" w:space="0" w:color="auto"/>
      </w:divBdr>
    </w:div>
    <w:div w:id="815875767">
      <w:bodyDiv w:val="1"/>
      <w:marLeft w:val="0"/>
      <w:marRight w:val="0"/>
      <w:marTop w:val="0"/>
      <w:marBottom w:val="0"/>
      <w:divBdr>
        <w:top w:val="none" w:sz="0" w:space="0" w:color="auto"/>
        <w:left w:val="none" w:sz="0" w:space="0" w:color="auto"/>
        <w:bottom w:val="none" w:sz="0" w:space="0" w:color="auto"/>
        <w:right w:val="none" w:sz="0" w:space="0" w:color="auto"/>
      </w:divBdr>
    </w:div>
    <w:div w:id="918100526">
      <w:bodyDiv w:val="1"/>
      <w:marLeft w:val="0"/>
      <w:marRight w:val="0"/>
      <w:marTop w:val="0"/>
      <w:marBottom w:val="0"/>
      <w:divBdr>
        <w:top w:val="none" w:sz="0" w:space="0" w:color="auto"/>
        <w:left w:val="none" w:sz="0" w:space="0" w:color="auto"/>
        <w:bottom w:val="none" w:sz="0" w:space="0" w:color="auto"/>
        <w:right w:val="none" w:sz="0" w:space="0" w:color="auto"/>
      </w:divBdr>
      <w:divsChild>
        <w:div w:id="776022154">
          <w:marLeft w:val="0"/>
          <w:marRight w:val="0"/>
          <w:marTop w:val="0"/>
          <w:marBottom w:val="0"/>
          <w:divBdr>
            <w:top w:val="none" w:sz="0" w:space="0" w:color="auto"/>
            <w:left w:val="none" w:sz="0" w:space="0" w:color="auto"/>
            <w:bottom w:val="none" w:sz="0" w:space="0" w:color="auto"/>
            <w:right w:val="none" w:sz="0" w:space="0" w:color="auto"/>
          </w:divBdr>
          <w:divsChild>
            <w:div w:id="6040009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5485291">
      <w:bodyDiv w:val="1"/>
      <w:marLeft w:val="0"/>
      <w:marRight w:val="0"/>
      <w:marTop w:val="0"/>
      <w:marBottom w:val="0"/>
      <w:divBdr>
        <w:top w:val="none" w:sz="0" w:space="0" w:color="auto"/>
        <w:left w:val="none" w:sz="0" w:space="0" w:color="auto"/>
        <w:bottom w:val="none" w:sz="0" w:space="0" w:color="auto"/>
        <w:right w:val="none" w:sz="0" w:space="0" w:color="auto"/>
      </w:divBdr>
    </w:div>
    <w:div w:id="1529417368">
      <w:bodyDiv w:val="1"/>
      <w:marLeft w:val="0"/>
      <w:marRight w:val="0"/>
      <w:marTop w:val="0"/>
      <w:marBottom w:val="0"/>
      <w:divBdr>
        <w:top w:val="none" w:sz="0" w:space="0" w:color="auto"/>
        <w:left w:val="none" w:sz="0" w:space="0" w:color="auto"/>
        <w:bottom w:val="none" w:sz="0" w:space="0" w:color="auto"/>
        <w:right w:val="none" w:sz="0" w:space="0" w:color="auto"/>
      </w:divBdr>
      <w:divsChild>
        <w:div w:id="1441684751">
          <w:marLeft w:val="0"/>
          <w:marRight w:val="0"/>
          <w:marTop w:val="0"/>
          <w:marBottom w:val="0"/>
          <w:divBdr>
            <w:top w:val="none" w:sz="0" w:space="0" w:color="auto"/>
            <w:left w:val="none" w:sz="0" w:space="0" w:color="auto"/>
            <w:bottom w:val="none" w:sz="0" w:space="0" w:color="auto"/>
            <w:right w:val="none" w:sz="0" w:space="0" w:color="auto"/>
          </w:divBdr>
          <w:divsChild>
            <w:div w:id="7425331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41782078">
      <w:bodyDiv w:val="1"/>
      <w:marLeft w:val="0"/>
      <w:marRight w:val="0"/>
      <w:marTop w:val="0"/>
      <w:marBottom w:val="0"/>
      <w:divBdr>
        <w:top w:val="none" w:sz="0" w:space="0" w:color="auto"/>
        <w:left w:val="none" w:sz="0" w:space="0" w:color="auto"/>
        <w:bottom w:val="none" w:sz="0" w:space="0" w:color="auto"/>
        <w:right w:val="none" w:sz="0" w:space="0" w:color="auto"/>
      </w:divBdr>
      <w:divsChild>
        <w:div w:id="88702452">
          <w:marLeft w:val="0"/>
          <w:marRight w:val="0"/>
          <w:marTop w:val="0"/>
          <w:marBottom w:val="0"/>
          <w:divBdr>
            <w:top w:val="none" w:sz="0" w:space="0" w:color="auto"/>
            <w:left w:val="none" w:sz="0" w:space="0" w:color="auto"/>
            <w:bottom w:val="none" w:sz="0" w:space="0" w:color="auto"/>
            <w:right w:val="none" w:sz="0" w:space="0" w:color="auto"/>
          </w:divBdr>
          <w:divsChild>
            <w:div w:id="15128371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35302534">
          <w:marLeft w:val="0"/>
          <w:marRight w:val="0"/>
          <w:marTop w:val="0"/>
          <w:marBottom w:val="0"/>
          <w:divBdr>
            <w:top w:val="none" w:sz="0" w:space="0" w:color="auto"/>
            <w:left w:val="none" w:sz="0" w:space="0" w:color="auto"/>
            <w:bottom w:val="none" w:sz="0" w:space="0" w:color="auto"/>
            <w:right w:val="none" w:sz="0" w:space="0" w:color="auto"/>
          </w:divBdr>
          <w:divsChild>
            <w:div w:id="2679271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0691618">
          <w:marLeft w:val="0"/>
          <w:marRight w:val="0"/>
          <w:marTop w:val="0"/>
          <w:marBottom w:val="0"/>
          <w:divBdr>
            <w:top w:val="none" w:sz="0" w:space="0" w:color="auto"/>
            <w:left w:val="none" w:sz="0" w:space="0" w:color="auto"/>
            <w:bottom w:val="none" w:sz="0" w:space="0" w:color="auto"/>
            <w:right w:val="none" w:sz="0" w:space="0" w:color="auto"/>
          </w:divBdr>
          <w:divsChild>
            <w:div w:id="8197384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78808020">
          <w:marLeft w:val="0"/>
          <w:marRight w:val="0"/>
          <w:marTop w:val="0"/>
          <w:marBottom w:val="0"/>
          <w:divBdr>
            <w:top w:val="none" w:sz="0" w:space="0" w:color="auto"/>
            <w:left w:val="none" w:sz="0" w:space="0" w:color="auto"/>
            <w:bottom w:val="none" w:sz="0" w:space="0" w:color="auto"/>
            <w:right w:val="none" w:sz="0" w:space="0" w:color="auto"/>
          </w:divBdr>
          <w:divsChild>
            <w:div w:id="13016861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1367899">
          <w:marLeft w:val="0"/>
          <w:marRight w:val="0"/>
          <w:marTop w:val="0"/>
          <w:marBottom w:val="0"/>
          <w:divBdr>
            <w:top w:val="none" w:sz="0" w:space="0" w:color="auto"/>
            <w:left w:val="none" w:sz="0" w:space="0" w:color="auto"/>
            <w:bottom w:val="none" w:sz="0" w:space="0" w:color="auto"/>
            <w:right w:val="none" w:sz="0" w:space="0" w:color="auto"/>
          </w:divBdr>
          <w:divsChild>
            <w:div w:id="951739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1.jpg"/><Relationship Id="rId30" Type="http://schemas.openxmlformats.org/officeDocument/2006/relationships/image" Target="media/image14.png"/><Relationship Id="rId35" Type="http://schemas.openxmlformats.org/officeDocument/2006/relationships/image" Target="media/image19.png"/></Relationships>
</file>

<file path=word/theme/theme1.xml><?xml version="1.0" encoding="utf-8"?>
<a:theme xmlns:a="http://schemas.openxmlformats.org/drawingml/2006/main" name="Office Theme">
  <a:themeElements>
    <a:clrScheme name="LCC Colours">
      <a:dk1>
        <a:srgbClr val="5C348B"/>
      </a:dk1>
      <a:lt1>
        <a:srgbClr val="D8D2C4"/>
      </a:lt1>
      <a:dk2>
        <a:srgbClr val="78787F"/>
      </a:dk2>
      <a:lt2>
        <a:srgbClr val="009FE3"/>
      </a:lt2>
      <a:accent1>
        <a:srgbClr val="E9473F"/>
      </a:accent1>
      <a:accent2>
        <a:srgbClr val="FED700"/>
      </a:accent2>
      <a:accent3>
        <a:srgbClr val="7C7257"/>
      </a:accent3>
      <a:accent4>
        <a:srgbClr val="E6007E"/>
      </a:accent4>
      <a:accent5>
        <a:srgbClr val="47BCCA"/>
      </a:accent5>
      <a:accent6>
        <a:srgbClr val="ABAC25"/>
      </a:accent6>
      <a:hlink>
        <a:srgbClr val="000000"/>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D3B5F00B5AAD4C8938B01E7BA95C87" ma:contentTypeVersion="12" ma:contentTypeDescription="Create a new document." ma:contentTypeScope="" ma:versionID="3004eb2ae1c6528bd04c74ac7d53fa28">
  <xsd:schema xmlns:xsd="http://www.w3.org/2001/XMLSchema" xmlns:xs="http://www.w3.org/2001/XMLSchema" xmlns:p="http://schemas.microsoft.com/office/2006/metadata/properties" xmlns:ns3="02edf523-04cb-4170-abef-105de69ab8f2" xmlns:ns4="d41c2b76-0c97-425b-87f0-ff0476ef0f77" targetNamespace="http://schemas.microsoft.com/office/2006/metadata/properties" ma:root="true" ma:fieldsID="25ef93b6ac526f389c676bec8f709ae3" ns3:_="" ns4:_="">
    <xsd:import namespace="02edf523-04cb-4170-abef-105de69ab8f2"/>
    <xsd:import namespace="d41c2b76-0c97-425b-87f0-ff0476ef0f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df523-04cb-4170-abef-105de69a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1c2b76-0c97-425b-87f0-ff0476ef0f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675C1-5205-43F2-B5FD-BBAD2570676D}">
  <ds:schemaRefs>
    <ds:schemaRef ds:uri="http://schemas.microsoft.com/sharepoint/v3/contenttype/forms"/>
  </ds:schemaRefs>
</ds:datastoreItem>
</file>

<file path=customXml/itemProps2.xml><?xml version="1.0" encoding="utf-8"?>
<ds:datastoreItem xmlns:ds="http://schemas.openxmlformats.org/officeDocument/2006/customXml" ds:itemID="{B5624F4E-58D2-4212-98CB-B92FC613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df523-04cb-4170-abef-105de69ab8f2"/>
    <ds:schemaRef ds:uri="d41c2b76-0c97-425b-87f0-ff0476ef0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13285-91B1-44E8-916F-EE7102BCEE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A0C5A2-0A41-4B78-A8DA-16D18972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75</Pages>
  <Words>22094</Words>
  <Characters>126379</Characters>
  <Application>Microsoft Office Word</Application>
  <DocSecurity>0</DocSecurity>
  <Lines>2808</Lines>
  <Paragraphs>1455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Chen</dc:creator>
  <cp:keywords/>
  <dc:description/>
  <cp:lastModifiedBy>Cameron Jewell</cp:lastModifiedBy>
  <cp:revision>12</cp:revision>
  <cp:lastPrinted>2020-02-25T01:13:00Z</cp:lastPrinted>
  <dcterms:created xsi:type="dcterms:W3CDTF">2020-12-16T03:56:00Z</dcterms:created>
  <dcterms:modified xsi:type="dcterms:W3CDTF">2020-12-18T05:15:00Z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0x010100A6D3B5F00B5AAD4C8938B01E7BA95C87</vt:lpwstr>
  </property>
</Properties>
</file>